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04F7" w14:textId="650E10DB" w:rsidR="00590D06" w:rsidRDefault="00771B9A" w:rsidP="00771B9A">
      <w:pPr>
        <w:jc w:val="center"/>
        <w:rPr>
          <w:rFonts w:ascii="Montserrat" w:hAnsi="Montserrat"/>
          <w:b/>
          <w:bCs/>
        </w:rPr>
      </w:pPr>
      <w:r w:rsidRPr="00771B9A">
        <w:rPr>
          <w:rFonts w:ascii="Montserrat" w:hAnsi="Montserrat"/>
          <w:b/>
          <w:bCs/>
        </w:rPr>
        <w:t xml:space="preserve">ESTRATEGIA DE TRABAJO PARA LA TRANSPARENCIA, LA CALIDAD DEL GASTO PÚBLICO Y LA RENDICIÓN DE CUENTAS </w:t>
      </w:r>
    </w:p>
    <w:p w14:paraId="6FCE98B7" w14:textId="63C5A14F" w:rsidR="00D65736" w:rsidRDefault="00D65736" w:rsidP="00D65736">
      <w:pPr>
        <w:rPr>
          <w:rFonts w:ascii="Montserrat" w:hAnsi="Montserrat"/>
          <w:b/>
          <w:bCs/>
        </w:rPr>
      </w:pPr>
    </w:p>
    <w:p w14:paraId="2FCA4538" w14:textId="7C45B54F" w:rsidR="00D65736" w:rsidRDefault="00D65736" w:rsidP="00D65736">
      <w:pPr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PRESENTACIÓN</w:t>
      </w:r>
    </w:p>
    <w:p w14:paraId="3B4B51AD" w14:textId="5D048BF2" w:rsidR="00771B9A" w:rsidRDefault="00771B9A" w:rsidP="00771B9A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La Comisión Presidencial por la Paz y los Derechos Humanos, fue creada con carácter temporal por medio del Acuerdo Gubernativo No.</w:t>
      </w:r>
      <w:r w:rsidR="00862920">
        <w:rPr>
          <w:rFonts w:ascii="Montserrat" w:hAnsi="Montserrat"/>
        </w:rPr>
        <w:t xml:space="preserve"> </w:t>
      </w:r>
      <w:r>
        <w:rPr>
          <w:rFonts w:ascii="Montserrat" w:hAnsi="Montserrat"/>
        </w:rPr>
        <w:t>100-2020 de fecha 30 de julio de 2020</w:t>
      </w:r>
      <w:r w:rsidR="00AF0822">
        <w:rPr>
          <w:rFonts w:ascii="Montserrat" w:hAnsi="Montserrat"/>
        </w:rPr>
        <w:t xml:space="preserve"> y su mandato fue reformado por medio de</w:t>
      </w:r>
      <w:r w:rsidR="00604648">
        <w:rPr>
          <w:rFonts w:ascii="Montserrat" w:hAnsi="Montserrat"/>
        </w:rPr>
        <w:t>l A</w:t>
      </w:r>
      <w:r w:rsidR="00AF0822">
        <w:rPr>
          <w:rFonts w:ascii="Montserrat" w:hAnsi="Montserrat"/>
        </w:rPr>
        <w:t>cuerdo Gubernativos No. 306-2022 de fecha 8 de diciembre de 2022.</w:t>
      </w:r>
    </w:p>
    <w:p w14:paraId="3AE84101" w14:textId="343572C1" w:rsidR="00771B9A" w:rsidRDefault="00771B9A" w:rsidP="00771B9A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Tiene por objeto asesorar y coordinar con las distintas dependencias del Organismo Ejecutivo, la promoción de acciones y mecanismos encaminados a la efectiva vigencia y protección de los derechos humanos, el </w:t>
      </w:r>
      <w:r w:rsidR="00EF6923">
        <w:rPr>
          <w:rFonts w:ascii="Montserrat" w:hAnsi="Montserrat"/>
        </w:rPr>
        <w:t>seguimiento</w:t>
      </w:r>
      <w:r>
        <w:rPr>
          <w:rFonts w:ascii="Montserrat" w:hAnsi="Montserrat"/>
        </w:rPr>
        <w:t xml:space="preserve"> de los compromisos gubernamentales </w:t>
      </w:r>
      <w:r w:rsidR="00EF6923">
        <w:rPr>
          <w:rFonts w:ascii="Montserrat" w:hAnsi="Montserrat"/>
        </w:rPr>
        <w:t>en la promoción de una cultura</w:t>
      </w:r>
      <w:r>
        <w:rPr>
          <w:rFonts w:ascii="Montserrat" w:hAnsi="Montserrat"/>
        </w:rPr>
        <w:t xml:space="preserve"> de </w:t>
      </w:r>
      <w:r w:rsidR="00EF6923">
        <w:rPr>
          <w:rFonts w:ascii="Montserrat" w:hAnsi="Montserrat"/>
        </w:rPr>
        <w:t>p</w:t>
      </w:r>
      <w:r>
        <w:rPr>
          <w:rFonts w:ascii="Montserrat" w:hAnsi="Montserrat"/>
        </w:rPr>
        <w:t>az</w:t>
      </w:r>
      <w:r w:rsidR="00EF6923">
        <w:rPr>
          <w:rFonts w:ascii="Montserrat" w:hAnsi="Montserrat"/>
        </w:rPr>
        <w:t xml:space="preserve">, basada en la no violencia, así como la atención de la </w:t>
      </w:r>
      <w:r>
        <w:rPr>
          <w:rFonts w:ascii="Montserrat" w:hAnsi="Montserrat"/>
        </w:rPr>
        <w:t xml:space="preserve">conflictividad del país.  </w:t>
      </w:r>
    </w:p>
    <w:p w14:paraId="6D7EBAFD" w14:textId="77777777" w:rsidR="00836F59" w:rsidRDefault="00771B9A" w:rsidP="00771B9A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COPADEH </w:t>
      </w:r>
      <w:r w:rsidR="00836F59">
        <w:rPr>
          <w:rFonts w:ascii="Montserrat" w:hAnsi="Montserrat"/>
        </w:rPr>
        <w:t>no está vinculada de forma directa a resultados estratégicos de desarrollo.</w:t>
      </w:r>
    </w:p>
    <w:p w14:paraId="1DA22585" w14:textId="6954C18A" w:rsidR="00836F59" w:rsidRDefault="00836F59" w:rsidP="00771B9A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771B9A">
        <w:rPr>
          <w:rFonts w:ascii="Montserrat" w:hAnsi="Montserrat"/>
        </w:rPr>
        <w:t xml:space="preserve">ara el cumplimiento de su mandato </w:t>
      </w:r>
      <w:r>
        <w:rPr>
          <w:rFonts w:ascii="Montserrat" w:hAnsi="Montserrat"/>
        </w:rPr>
        <w:t>cuenta con un programa</w:t>
      </w:r>
      <w:r w:rsidR="00D65736">
        <w:rPr>
          <w:rFonts w:ascii="Montserrat" w:hAnsi="Montserrat"/>
        </w:rPr>
        <w:t xml:space="preserve"> </w:t>
      </w:r>
      <w:r w:rsidR="00D65736" w:rsidRPr="00836F59">
        <w:rPr>
          <w:rFonts w:ascii="Montserrat" w:eastAsia="Arial Unicode MS" w:hAnsi="Montserrat" w:cs="Arial Unicode MS"/>
          <w:i/>
          <w:iCs/>
          <w:sz w:val="24"/>
          <w:szCs w:val="24"/>
          <w:lang w:val="es-ES" w:eastAsia="es-ES"/>
        </w:rPr>
        <w:t>PROMOCIÓN DE ACCIONES Y MECANISMOS POR LA PAZ, DERECHOS HUMANOS Y ATENCIÓN DE CONFLICTIVIDAD</w:t>
      </w:r>
      <w:r w:rsidRPr="00D65736">
        <w:rPr>
          <w:rFonts w:ascii="Montserrat" w:hAnsi="Montserrat"/>
          <w:i/>
          <w:iCs/>
        </w:rPr>
        <w:t xml:space="preserve"> </w:t>
      </w:r>
      <w:r>
        <w:rPr>
          <w:rFonts w:ascii="Montserrat" w:hAnsi="Montserrat"/>
        </w:rPr>
        <w:t>y ha establecido la siguiente estructura programática.</w:t>
      </w:r>
    </w:p>
    <w:tbl>
      <w:tblPr>
        <w:tblW w:w="944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591"/>
        <w:gridCol w:w="591"/>
        <w:gridCol w:w="591"/>
        <w:gridCol w:w="591"/>
        <w:gridCol w:w="6288"/>
      </w:tblGrid>
      <w:tr w:rsidR="00836F59" w:rsidRPr="00836F59" w14:paraId="22D8015D" w14:textId="77777777" w:rsidTr="00F36AAC">
        <w:trPr>
          <w:trHeight w:val="255"/>
        </w:trPr>
        <w:tc>
          <w:tcPr>
            <w:tcW w:w="788" w:type="dxa"/>
            <w:noWrap/>
            <w:vAlign w:val="bottom"/>
          </w:tcPr>
          <w:p w14:paraId="69E9A395" w14:textId="781EF55A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>
              <w:rPr>
                <w:rFonts w:ascii="Montserrat" w:hAnsi="Montserrat"/>
              </w:rPr>
              <w:t xml:space="preserve"> </w:t>
            </w: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t>PRG</w:t>
            </w:r>
          </w:p>
        </w:tc>
        <w:tc>
          <w:tcPr>
            <w:tcW w:w="591" w:type="dxa"/>
            <w:noWrap/>
            <w:vAlign w:val="bottom"/>
          </w:tcPr>
          <w:p w14:paraId="433581D1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t>SPR</w:t>
            </w:r>
          </w:p>
        </w:tc>
        <w:tc>
          <w:tcPr>
            <w:tcW w:w="591" w:type="dxa"/>
            <w:noWrap/>
            <w:vAlign w:val="bottom"/>
          </w:tcPr>
          <w:p w14:paraId="76C1FDF9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t>PRY</w:t>
            </w:r>
          </w:p>
        </w:tc>
        <w:tc>
          <w:tcPr>
            <w:tcW w:w="591" w:type="dxa"/>
          </w:tcPr>
          <w:p w14:paraId="0B392B80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t>ACT</w:t>
            </w:r>
          </w:p>
        </w:tc>
        <w:tc>
          <w:tcPr>
            <w:tcW w:w="591" w:type="dxa"/>
            <w:noWrap/>
            <w:vAlign w:val="bottom"/>
          </w:tcPr>
          <w:p w14:paraId="2B4692A9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t>OBR</w:t>
            </w:r>
          </w:p>
        </w:tc>
        <w:tc>
          <w:tcPr>
            <w:tcW w:w="6288" w:type="dxa"/>
            <w:noWrap/>
            <w:vAlign w:val="bottom"/>
          </w:tcPr>
          <w:p w14:paraId="4D7529F9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t>DENOMINACION</w:t>
            </w:r>
          </w:p>
        </w:tc>
      </w:tr>
      <w:tr w:rsidR="00836F59" w:rsidRPr="00836F59" w14:paraId="0B10E22D" w14:textId="77777777" w:rsidTr="00F36AAC">
        <w:trPr>
          <w:trHeight w:val="255"/>
        </w:trPr>
        <w:tc>
          <w:tcPr>
            <w:tcW w:w="788" w:type="dxa"/>
            <w:noWrap/>
          </w:tcPr>
          <w:p w14:paraId="53B90056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  <w:p w14:paraId="7B4EBBE1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t>71</w:t>
            </w:r>
          </w:p>
        </w:tc>
        <w:tc>
          <w:tcPr>
            <w:tcW w:w="591" w:type="dxa"/>
            <w:noWrap/>
            <w:vAlign w:val="bottom"/>
          </w:tcPr>
          <w:p w14:paraId="168AA25F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91" w:type="dxa"/>
            <w:noWrap/>
            <w:vAlign w:val="bottom"/>
          </w:tcPr>
          <w:p w14:paraId="5F83E542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91" w:type="dxa"/>
            <w:vAlign w:val="bottom"/>
          </w:tcPr>
          <w:p w14:paraId="61FF1181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91" w:type="dxa"/>
            <w:noWrap/>
            <w:vAlign w:val="bottom"/>
          </w:tcPr>
          <w:p w14:paraId="114F7DB9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6288" w:type="dxa"/>
            <w:noWrap/>
            <w:vAlign w:val="bottom"/>
          </w:tcPr>
          <w:p w14:paraId="3196DF5A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  <w:p w14:paraId="04033B91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sz w:val="24"/>
                <w:szCs w:val="24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sz w:val="24"/>
                <w:szCs w:val="24"/>
                <w:lang w:val="es-ES" w:eastAsia="es-ES"/>
              </w:rPr>
              <w:t>PROMOCIÓN DE ACCIONES Y MECANISMOS POR LA PAZ, DERECHOS HUMANOS Y ATENCIÓN DE CONFLICTIVIDAD</w:t>
            </w:r>
          </w:p>
        </w:tc>
      </w:tr>
      <w:tr w:rsidR="00836F59" w:rsidRPr="00836F59" w14:paraId="6E2B9C73" w14:textId="77777777" w:rsidTr="00F36AAC">
        <w:trPr>
          <w:trHeight w:val="255"/>
        </w:trPr>
        <w:tc>
          <w:tcPr>
            <w:tcW w:w="788" w:type="dxa"/>
            <w:noWrap/>
            <w:vAlign w:val="bottom"/>
          </w:tcPr>
          <w:p w14:paraId="21C18A2D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91" w:type="dxa"/>
            <w:noWrap/>
            <w:vAlign w:val="bottom"/>
          </w:tcPr>
          <w:p w14:paraId="18DEB22C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t>00</w:t>
            </w:r>
          </w:p>
        </w:tc>
        <w:tc>
          <w:tcPr>
            <w:tcW w:w="591" w:type="dxa"/>
            <w:noWrap/>
            <w:vAlign w:val="bottom"/>
          </w:tcPr>
          <w:p w14:paraId="326602F3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91" w:type="dxa"/>
            <w:vAlign w:val="bottom"/>
          </w:tcPr>
          <w:p w14:paraId="0E8BEA44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91" w:type="dxa"/>
            <w:noWrap/>
            <w:vAlign w:val="bottom"/>
          </w:tcPr>
          <w:p w14:paraId="28A6D8D8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6288" w:type="dxa"/>
            <w:noWrap/>
            <w:vAlign w:val="bottom"/>
          </w:tcPr>
          <w:p w14:paraId="23D99B68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t>Sin Subprograma</w:t>
            </w:r>
          </w:p>
        </w:tc>
      </w:tr>
      <w:tr w:rsidR="00836F59" w:rsidRPr="00836F59" w14:paraId="06BA6268" w14:textId="77777777" w:rsidTr="00F36AAC">
        <w:trPr>
          <w:trHeight w:val="196"/>
        </w:trPr>
        <w:tc>
          <w:tcPr>
            <w:tcW w:w="788" w:type="dxa"/>
            <w:noWrap/>
            <w:vAlign w:val="bottom"/>
          </w:tcPr>
          <w:p w14:paraId="1A1DE669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91" w:type="dxa"/>
            <w:noWrap/>
            <w:vAlign w:val="bottom"/>
          </w:tcPr>
          <w:p w14:paraId="081CFCBA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91" w:type="dxa"/>
            <w:noWrap/>
            <w:vAlign w:val="bottom"/>
          </w:tcPr>
          <w:p w14:paraId="5B180FFC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t>000</w:t>
            </w:r>
          </w:p>
        </w:tc>
        <w:tc>
          <w:tcPr>
            <w:tcW w:w="591" w:type="dxa"/>
            <w:vAlign w:val="bottom"/>
          </w:tcPr>
          <w:p w14:paraId="452A1B07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91" w:type="dxa"/>
            <w:noWrap/>
            <w:vAlign w:val="bottom"/>
          </w:tcPr>
          <w:p w14:paraId="7B5BA545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6288" w:type="dxa"/>
            <w:noWrap/>
            <w:vAlign w:val="bottom"/>
          </w:tcPr>
          <w:p w14:paraId="05E03E15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t>Sin Proyecto</w:t>
            </w:r>
          </w:p>
        </w:tc>
      </w:tr>
      <w:tr w:rsidR="00836F59" w:rsidRPr="00836F59" w14:paraId="03D92521" w14:textId="77777777" w:rsidTr="00F36AAC">
        <w:trPr>
          <w:trHeight w:val="196"/>
        </w:trPr>
        <w:tc>
          <w:tcPr>
            <w:tcW w:w="788" w:type="dxa"/>
            <w:noWrap/>
            <w:vAlign w:val="bottom"/>
          </w:tcPr>
          <w:p w14:paraId="33963D8E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91" w:type="dxa"/>
            <w:noWrap/>
            <w:vAlign w:val="bottom"/>
          </w:tcPr>
          <w:p w14:paraId="25C4470E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91" w:type="dxa"/>
            <w:noWrap/>
            <w:vAlign w:val="bottom"/>
          </w:tcPr>
          <w:p w14:paraId="75E6AF16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91" w:type="dxa"/>
            <w:vAlign w:val="bottom"/>
          </w:tcPr>
          <w:p w14:paraId="2DD7D861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91" w:type="dxa"/>
            <w:noWrap/>
            <w:vAlign w:val="bottom"/>
          </w:tcPr>
          <w:p w14:paraId="4C94BE9B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6288" w:type="dxa"/>
            <w:noWrap/>
            <w:vAlign w:val="bottom"/>
          </w:tcPr>
          <w:p w14:paraId="01611116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</w:tr>
      <w:tr w:rsidR="00836F59" w:rsidRPr="00836F59" w14:paraId="31C5083D" w14:textId="77777777" w:rsidTr="00F36AAC">
        <w:trPr>
          <w:trHeight w:val="255"/>
        </w:trPr>
        <w:tc>
          <w:tcPr>
            <w:tcW w:w="788" w:type="dxa"/>
            <w:noWrap/>
            <w:vAlign w:val="bottom"/>
          </w:tcPr>
          <w:p w14:paraId="375DDACA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91" w:type="dxa"/>
            <w:noWrap/>
            <w:vAlign w:val="bottom"/>
          </w:tcPr>
          <w:p w14:paraId="269F5B44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91" w:type="dxa"/>
            <w:noWrap/>
            <w:vAlign w:val="bottom"/>
          </w:tcPr>
          <w:p w14:paraId="4A7CF80D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91" w:type="dxa"/>
            <w:vAlign w:val="bottom"/>
          </w:tcPr>
          <w:p w14:paraId="3744D4FA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t>001</w:t>
            </w:r>
          </w:p>
        </w:tc>
        <w:tc>
          <w:tcPr>
            <w:tcW w:w="591" w:type="dxa"/>
            <w:noWrap/>
            <w:vAlign w:val="bottom"/>
          </w:tcPr>
          <w:p w14:paraId="66AB54E2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t>000</w:t>
            </w:r>
          </w:p>
        </w:tc>
        <w:tc>
          <w:tcPr>
            <w:tcW w:w="6288" w:type="dxa"/>
            <w:noWrap/>
            <w:vAlign w:val="bottom"/>
          </w:tcPr>
          <w:p w14:paraId="55E448AD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t>Dirección y Coordinación</w:t>
            </w:r>
          </w:p>
        </w:tc>
      </w:tr>
      <w:tr w:rsidR="00836F59" w:rsidRPr="00836F59" w14:paraId="1911ADB0" w14:textId="77777777" w:rsidTr="00F36AAC">
        <w:trPr>
          <w:trHeight w:val="255"/>
        </w:trPr>
        <w:tc>
          <w:tcPr>
            <w:tcW w:w="788" w:type="dxa"/>
            <w:noWrap/>
            <w:vAlign w:val="bottom"/>
          </w:tcPr>
          <w:p w14:paraId="6ED9DB82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91" w:type="dxa"/>
            <w:noWrap/>
            <w:vAlign w:val="bottom"/>
          </w:tcPr>
          <w:p w14:paraId="36C6F1C7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91" w:type="dxa"/>
            <w:noWrap/>
            <w:vAlign w:val="bottom"/>
          </w:tcPr>
          <w:p w14:paraId="09363A56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91" w:type="dxa"/>
          </w:tcPr>
          <w:p w14:paraId="00689CF5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t>002</w:t>
            </w:r>
          </w:p>
          <w:p w14:paraId="485A20D2" w14:textId="77777777" w:rsidR="00836F59" w:rsidRPr="00836F59" w:rsidRDefault="00836F59" w:rsidP="00836F5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  <w:p w14:paraId="44A9EC83" w14:textId="77777777" w:rsidR="00836F59" w:rsidRPr="00836F59" w:rsidRDefault="00836F59" w:rsidP="00836F5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t>003</w:t>
            </w:r>
          </w:p>
        </w:tc>
        <w:tc>
          <w:tcPr>
            <w:tcW w:w="591" w:type="dxa"/>
            <w:noWrap/>
          </w:tcPr>
          <w:p w14:paraId="45E325BF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t>000</w:t>
            </w:r>
          </w:p>
          <w:p w14:paraId="362BE728" w14:textId="77777777" w:rsidR="00836F59" w:rsidRPr="00836F59" w:rsidRDefault="00836F59" w:rsidP="00836F5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  <w:p w14:paraId="4D4FAA0B" w14:textId="77777777" w:rsidR="00836F59" w:rsidRPr="00836F59" w:rsidRDefault="00836F59" w:rsidP="00836F5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t>000</w:t>
            </w:r>
          </w:p>
        </w:tc>
        <w:tc>
          <w:tcPr>
            <w:tcW w:w="6288" w:type="dxa"/>
            <w:noWrap/>
            <w:vAlign w:val="bottom"/>
          </w:tcPr>
          <w:p w14:paraId="043B50E6" w14:textId="77777777" w:rsidR="00836F59" w:rsidRPr="00836F59" w:rsidRDefault="00836F59" w:rsidP="00836F59">
            <w:pPr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t xml:space="preserve"> Promoción y formación en Cultura de Paz, Derechos Humanos y mecanismos de diálogo</w:t>
            </w:r>
          </w:p>
          <w:p w14:paraId="729B466B" w14:textId="77777777" w:rsidR="00836F59" w:rsidRPr="00836F59" w:rsidRDefault="00836F59" w:rsidP="00836F59">
            <w:pPr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t>Implementación de Acciones sobre Derechos Humanos</w:t>
            </w:r>
          </w:p>
          <w:p w14:paraId="49E95FEC" w14:textId="77777777" w:rsidR="00836F59" w:rsidRPr="00836F59" w:rsidRDefault="00836F59" w:rsidP="00836F59">
            <w:pPr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</w:tr>
      <w:tr w:rsidR="00836F59" w:rsidRPr="00836F59" w14:paraId="734DBDA5" w14:textId="77777777" w:rsidTr="00F36AAC">
        <w:trPr>
          <w:trHeight w:val="255"/>
        </w:trPr>
        <w:tc>
          <w:tcPr>
            <w:tcW w:w="788" w:type="dxa"/>
            <w:noWrap/>
            <w:vAlign w:val="bottom"/>
          </w:tcPr>
          <w:p w14:paraId="56410151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91" w:type="dxa"/>
            <w:noWrap/>
            <w:vAlign w:val="bottom"/>
          </w:tcPr>
          <w:p w14:paraId="16DC6C1A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91" w:type="dxa"/>
            <w:noWrap/>
            <w:vAlign w:val="bottom"/>
          </w:tcPr>
          <w:p w14:paraId="212BD599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91" w:type="dxa"/>
          </w:tcPr>
          <w:p w14:paraId="29AE123E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t>004</w:t>
            </w:r>
          </w:p>
        </w:tc>
        <w:tc>
          <w:tcPr>
            <w:tcW w:w="591" w:type="dxa"/>
            <w:noWrap/>
          </w:tcPr>
          <w:p w14:paraId="15FEAF31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t>000</w:t>
            </w:r>
          </w:p>
        </w:tc>
        <w:tc>
          <w:tcPr>
            <w:tcW w:w="6288" w:type="dxa"/>
            <w:noWrap/>
            <w:vAlign w:val="bottom"/>
          </w:tcPr>
          <w:p w14:paraId="66939608" w14:textId="77777777" w:rsidR="00836F59" w:rsidRPr="00836F59" w:rsidRDefault="00836F59" w:rsidP="00836F59">
            <w:pPr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t xml:space="preserve">Prevención y atención de la conflictividad </w:t>
            </w:r>
          </w:p>
          <w:p w14:paraId="46EFA9B1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</w:tr>
    </w:tbl>
    <w:p w14:paraId="1547F881" w14:textId="57143A90" w:rsidR="00771B9A" w:rsidRPr="00771B9A" w:rsidRDefault="00D65736" w:rsidP="00771B9A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Cuenta además con 4 productos y 7 subproductos para el desarrollo de su quehacer institucional 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65736" w:rsidRPr="00D65736" w14:paraId="5640968B" w14:textId="77777777" w:rsidTr="00D65736">
        <w:trPr>
          <w:trHeight w:val="315"/>
        </w:trPr>
        <w:tc>
          <w:tcPr>
            <w:tcW w:w="9493" w:type="dxa"/>
            <w:hideMark/>
          </w:tcPr>
          <w:p w14:paraId="5B9AA1DE" w14:textId="77777777" w:rsidR="00D65736" w:rsidRPr="00D65736" w:rsidRDefault="00D65736">
            <w:pPr>
              <w:rPr>
                <w:rFonts w:ascii="Montserrat" w:hAnsi="Montserrat"/>
                <w:b/>
                <w:bCs/>
              </w:rPr>
            </w:pPr>
            <w:r w:rsidRPr="00D65736">
              <w:rPr>
                <w:rFonts w:ascii="Montserrat" w:hAnsi="Montserrat"/>
                <w:b/>
                <w:bCs/>
              </w:rPr>
              <w:t>Dirección y coordinación</w:t>
            </w:r>
          </w:p>
        </w:tc>
      </w:tr>
      <w:tr w:rsidR="00D65736" w:rsidRPr="00D65736" w14:paraId="46759E3C" w14:textId="77777777" w:rsidTr="00D65736">
        <w:trPr>
          <w:trHeight w:val="315"/>
        </w:trPr>
        <w:tc>
          <w:tcPr>
            <w:tcW w:w="9493" w:type="dxa"/>
            <w:hideMark/>
          </w:tcPr>
          <w:p w14:paraId="06DC249F" w14:textId="77777777" w:rsidR="00D65736" w:rsidRPr="00D65736" w:rsidRDefault="00D65736">
            <w:pPr>
              <w:rPr>
                <w:rFonts w:ascii="Montserrat" w:hAnsi="Montserrat"/>
              </w:rPr>
            </w:pPr>
            <w:r w:rsidRPr="00D65736">
              <w:rPr>
                <w:rFonts w:ascii="Montserrat" w:hAnsi="Montserrat"/>
              </w:rPr>
              <w:t>Dirección y coordinación</w:t>
            </w:r>
          </w:p>
        </w:tc>
      </w:tr>
      <w:tr w:rsidR="00D65736" w:rsidRPr="00D65736" w14:paraId="3A4B0465" w14:textId="77777777" w:rsidTr="001E2700">
        <w:trPr>
          <w:trHeight w:val="716"/>
        </w:trPr>
        <w:tc>
          <w:tcPr>
            <w:tcW w:w="9493" w:type="dxa"/>
            <w:hideMark/>
          </w:tcPr>
          <w:p w14:paraId="29443FA9" w14:textId="14593E7E" w:rsidR="00D65736" w:rsidRPr="00D65736" w:rsidRDefault="001E2700">
            <w:pPr>
              <w:rPr>
                <w:rFonts w:ascii="Montserrat" w:hAnsi="Montserrat"/>
                <w:b/>
                <w:bCs/>
              </w:rPr>
            </w:pPr>
            <w:r w:rsidRPr="001E2700">
              <w:rPr>
                <w:rFonts w:ascii="Montserrat" w:hAnsi="Montserrat"/>
                <w:b/>
                <w:bCs/>
              </w:rPr>
              <w:t>Eventos de asesoría, coordinación y formación a las dependencias del Organismo Ejecutivo y otros actores, en materia de Paz</w:t>
            </w:r>
          </w:p>
        </w:tc>
      </w:tr>
      <w:tr w:rsidR="00D65736" w:rsidRPr="00D65736" w14:paraId="3F0F3D42" w14:textId="77777777" w:rsidTr="001E2700">
        <w:trPr>
          <w:trHeight w:val="744"/>
        </w:trPr>
        <w:tc>
          <w:tcPr>
            <w:tcW w:w="9493" w:type="dxa"/>
            <w:hideMark/>
          </w:tcPr>
          <w:p w14:paraId="6AF473E6" w14:textId="0A38A6BB" w:rsidR="00D65736" w:rsidRPr="00D65736" w:rsidRDefault="001E2700">
            <w:pPr>
              <w:rPr>
                <w:rFonts w:ascii="Montserrat" w:hAnsi="Montserrat"/>
              </w:rPr>
            </w:pPr>
            <w:r w:rsidRPr="001E2700">
              <w:rPr>
                <w:rFonts w:ascii="Montserrat" w:hAnsi="Montserrat"/>
              </w:rPr>
              <w:t>Eventos de asesoría, coordinación y formación a las dependencias del Organismo Ejecutivo y otros actores en materia de Paz</w:t>
            </w:r>
          </w:p>
        </w:tc>
      </w:tr>
      <w:tr w:rsidR="00D65736" w:rsidRPr="00D65736" w14:paraId="1962A741" w14:textId="77777777" w:rsidTr="00D65736">
        <w:trPr>
          <w:trHeight w:val="630"/>
        </w:trPr>
        <w:tc>
          <w:tcPr>
            <w:tcW w:w="9493" w:type="dxa"/>
            <w:hideMark/>
          </w:tcPr>
          <w:p w14:paraId="46ADECCF" w14:textId="478E586E" w:rsidR="00D65736" w:rsidRPr="00D65736" w:rsidRDefault="001E2700">
            <w:pPr>
              <w:rPr>
                <w:rFonts w:ascii="Montserrat" w:hAnsi="Montserrat"/>
              </w:rPr>
            </w:pPr>
            <w:r w:rsidRPr="001E2700">
              <w:rPr>
                <w:rFonts w:ascii="Montserrat" w:hAnsi="Montserrat"/>
              </w:rPr>
              <w:t>Servidores públicos y ciudadanos formados y capacitados en cultura de paz, respeto a los derechos humanos y mecanismos de diálogo</w:t>
            </w:r>
          </w:p>
        </w:tc>
      </w:tr>
      <w:tr w:rsidR="00D65736" w:rsidRPr="00D65736" w14:paraId="260215E8" w14:textId="77777777" w:rsidTr="00D65736">
        <w:trPr>
          <w:trHeight w:val="630"/>
        </w:trPr>
        <w:tc>
          <w:tcPr>
            <w:tcW w:w="9493" w:type="dxa"/>
            <w:hideMark/>
          </w:tcPr>
          <w:p w14:paraId="78B72B39" w14:textId="25C9262C" w:rsidR="00D65736" w:rsidRPr="00D65736" w:rsidRDefault="001E2700" w:rsidP="00D65736">
            <w:pPr>
              <w:rPr>
                <w:rFonts w:ascii="Montserrat" w:hAnsi="Montserrat"/>
                <w:b/>
                <w:bCs/>
              </w:rPr>
            </w:pPr>
            <w:r w:rsidRPr="001E2700">
              <w:rPr>
                <w:rFonts w:ascii="Montserrat" w:hAnsi="Montserrat"/>
                <w:b/>
                <w:bCs/>
              </w:rPr>
              <w:t>Informes de asesoría, coordinación e implementación de medidas de reparación en materia de derechos humanos a distintas instituciones del Estado</w:t>
            </w:r>
          </w:p>
        </w:tc>
      </w:tr>
      <w:tr w:rsidR="00D65736" w:rsidRPr="00D65736" w14:paraId="14DF0903" w14:textId="77777777" w:rsidTr="00D65736">
        <w:trPr>
          <w:trHeight w:val="630"/>
        </w:trPr>
        <w:tc>
          <w:tcPr>
            <w:tcW w:w="9493" w:type="dxa"/>
            <w:hideMark/>
          </w:tcPr>
          <w:p w14:paraId="390F23D9" w14:textId="7B8DE4C6" w:rsidR="00D65736" w:rsidRPr="00D65736" w:rsidRDefault="001E2700" w:rsidP="00D65736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I</w:t>
            </w:r>
            <w:r w:rsidRPr="001E2700">
              <w:rPr>
                <w:rFonts w:ascii="Montserrat" w:hAnsi="Montserrat"/>
              </w:rPr>
              <w:t>nformes de asesoría y coordinación en materia de derechos humanos a distintas instituciones del Estado</w:t>
            </w:r>
          </w:p>
        </w:tc>
      </w:tr>
      <w:tr w:rsidR="00D65736" w:rsidRPr="00D65736" w14:paraId="26D4A567" w14:textId="77777777" w:rsidTr="00D65736">
        <w:trPr>
          <w:trHeight w:val="630"/>
        </w:trPr>
        <w:tc>
          <w:tcPr>
            <w:tcW w:w="9493" w:type="dxa"/>
            <w:hideMark/>
          </w:tcPr>
          <w:p w14:paraId="4B696F03" w14:textId="6BA4AF66" w:rsidR="00D65736" w:rsidRPr="00D65736" w:rsidRDefault="001E2700" w:rsidP="00D65736">
            <w:pPr>
              <w:rPr>
                <w:rFonts w:ascii="Montserrat" w:hAnsi="Montserrat"/>
              </w:rPr>
            </w:pPr>
            <w:r w:rsidRPr="001E2700">
              <w:rPr>
                <w:rFonts w:ascii="Montserrat" w:hAnsi="Montserrat"/>
              </w:rPr>
              <w:t>Informes sobre medidas de reparación implementadas en beneficio de personas afectadas en sus derechos humanos de acuerdo a compromisos de Estado</w:t>
            </w:r>
          </w:p>
        </w:tc>
      </w:tr>
      <w:tr w:rsidR="00D65736" w:rsidRPr="00D65736" w14:paraId="377F06C3" w14:textId="77777777" w:rsidTr="00D65736">
        <w:trPr>
          <w:trHeight w:val="945"/>
        </w:trPr>
        <w:tc>
          <w:tcPr>
            <w:tcW w:w="9493" w:type="dxa"/>
            <w:hideMark/>
          </w:tcPr>
          <w:p w14:paraId="46DA15B1" w14:textId="725C2AD1" w:rsidR="00D65736" w:rsidRPr="00D65736" w:rsidRDefault="001E2700" w:rsidP="00D65736">
            <w:pPr>
              <w:rPr>
                <w:rFonts w:ascii="Montserrat" w:hAnsi="Montserrat"/>
                <w:b/>
                <w:bCs/>
              </w:rPr>
            </w:pPr>
            <w:r w:rsidRPr="001E2700">
              <w:rPr>
                <w:rFonts w:ascii="Montserrat" w:hAnsi="Montserrat"/>
                <w:b/>
                <w:bCs/>
              </w:rPr>
              <w:t>Conflictos sociales, ambientales, agrarios y otros atendidos mediante la coordinación con las dependencias del Organismo Ejecutivo para su mediación y resolución</w:t>
            </w:r>
          </w:p>
        </w:tc>
      </w:tr>
      <w:tr w:rsidR="00D65736" w:rsidRPr="00D65736" w14:paraId="08E10BF1" w14:textId="77777777" w:rsidTr="00D65736">
        <w:trPr>
          <w:trHeight w:val="945"/>
        </w:trPr>
        <w:tc>
          <w:tcPr>
            <w:tcW w:w="9493" w:type="dxa"/>
            <w:hideMark/>
          </w:tcPr>
          <w:p w14:paraId="1F332A0E" w14:textId="287D6218" w:rsidR="00D65736" w:rsidRPr="00D65736" w:rsidRDefault="001E2700" w:rsidP="00D65736">
            <w:pPr>
              <w:rPr>
                <w:rFonts w:ascii="Montserrat" w:hAnsi="Montserrat"/>
              </w:rPr>
            </w:pPr>
            <w:r w:rsidRPr="001E2700">
              <w:rPr>
                <w:rFonts w:ascii="Montserrat" w:hAnsi="Montserrat"/>
              </w:rPr>
              <w:t>Conflictos sociales, ambientales, agrarios y otros atendidos mediante la coordinación con las dependencias del Organismo Ejecutivo para su mediación y resolución</w:t>
            </w:r>
          </w:p>
        </w:tc>
      </w:tr>
      <w:tr w:rsidR="00D65736" w:rsidRPr="00D65736" w14:paraId="1018D1C4" w14:textId="77777777" w:rsidTr="00D65736">
        <w:trPr>
          <w:trHeight w:val="960"/>
        </w:trPr>
        <w:tc>
          <w:tcPr>
            <w:tcW w:w="9493" w:type="dxa"/>
            <w:hideMark/>
          </w:tcPr>
          <w:p w14:paraId="3C93E083" w14:textId="7CFDCA0F" w:rsidR="00D65736" w:rsidRPr="00D65736" w:rsidRDefault="001E2700" w:rsidP="00D65736">
            <w:pPr>
              <w:rPr>
                <w:rFonts w:ascii="Montserrat" w:hAnsi="Montserrat"/>
              </w:rPr>
            </w:pPr>
            <w:r w:rsidRPr="001E2700">
              <w:rPr>
                <w:rFonts w:ascii="Montserrat" w:hAnsi="Montserrat"/>
              </w:rPr>
              <w:t>Eventos de acompañamiento ante requerimiento institucional en desalojos, bloqueos, manifestaciones y otros</w:t>
            </w:r>
          </w:p>
        </w:tc>
      </w:tr>
    </w:tbl>
    <w:p w14:paraId="46304F80" w14:textId="77777777" w:rsidR="00AF0822" w:rsidRDefault="00AF0822" w:rsidP="00F35396">
      <w:pPr>
        <w:rPr>
          <w:rFonts w:ascii="Montserrat" w:hAnsi="Montserrat"/>
        </w:rPr>
      </w:pPr>
    </w:p>
    <w:p w14:paraId="11815F50" w14:textId="1E2F25FD" w:rsidR="00AF0822" w:rsidRPr="00AF0822" w:rsidRDefault="00AF0822" w:rsidP="00F35396">
      <w:pPr>
        <w:rPr>
          <w:rFonts w:ascii="Montserrat" w:hAnsi="Montserrat"/>
        </w:rPr>
      </w:pPr>
      <w:r w:rsidRPr="00AF0822">
        <w:rPr>
          <w:rFonts w:ascii="Montserrat" w:hAnsi="Montserrat"/>
        </w:rPr>
        <w:lastRenderedPageBreak/>
        <w:t>La COPADEH</w:t>
      </w:r>
      <w:r>
        <w:rPr>
          <w:rFonts w:ascii="Montserrat" w:hAnsi="Montserrat"/>
        </w:rPr>
        <w:t xml:space="preserve">, implementa su Plan Operativo Anual para el ejercicio fiscal 2023, a través de los planes </w:t>
      </w:r>
      <w:r w:rsidR="004A2283">
        <w:rPr>
          <w:rFonts w:ascii="Montserrat" w:hAnsi="Montserrat"/>
        </w:rPr>
        <w:t>operativos anuales que se traducen en planes de acción</w:t>
      </w:r>
      <w:r w:rsidR="00CE2066">
        <w:rPr>
          <w:rFonts w:ascii="Montserrat" w:hAnsi="Montserrat"/>
        </w:rPr>
        <w:t xml:space="preserve">.  Cada </w:t>
      </w:r>
      <w:r>
        <w:rPr>
          <w:rFonts w:ascii="Montserrat" w:hAnsi="Montserrat"/>
        </w:rPr>
        <w:t xml:space="preserve">dependencia de la COPADEH integra, según lo que corresponda, </w:t>
      </w:r>
      <w:r w:rsidR="00F36AAC">
        <w:rPr>
          <w:rFonts w:ascii="Montserrat" w:hAnsi="Montserrat"/>
        </w:rPr>
        <w:t xml:space="preserve">las acciones, los insumos, </w:t>
      </w:r>
      <w:r>
        <w:rPr>
          <w:rFonts w:ascii="Montserrat" w:hAnsi="Montserrat"/>
        </w:rPr>
        <w:t xml:space="preserve">el producto o subproducto </w:t>
      </w:r>
      <w:r w:rsidR="00F36AAC">
        <w:rPr>
          <w:rFonts w:ascii="Montserrat" w:hAnsi="Montserrat"/>
        </w:rPr>
        <w:t>y las metas físicas.</w:t>
      </w:r>
    </w:p>
    <w:p w14:paraId="0E0150D9" w14:textId="71A13584" w:rsidR="001071D5" w:rsidRDefault="001071D5" w:rsidP="00F35396">
      <w:pPr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OBJETIVO:</w:t>
      </w:r>
    </w:p>
    <w:p w14:paraId="5E8ADCDA" w14:textId="4DD7AB47" w:rsidR="001071D5" w:rsidRPr="001071D5" w:rsidRDefault="001071D5" w:rsidP="00F35396">
      <w:pPr>
        <w:rPr>
          <w:rFonts w:ascii="Montserrat" w:hAnsi="Montserrat"/>
        </w:rPr>
      </w:pPr>
      <w:r w:rsidRPr="001071D5">
        <w:rPr>
          <w:rFonts w:ascii="Montserrat" w:hAnsi="Montserrat"/>
        </w:rPr>
        <w:t xml:space="preserve">Fortalecer la transparencia, la calidad del gasto y la rendición de cuentas en el </w:t>
      </w:r>
      <w:r w:rsidR="00CE2066">
        <w:rPr>
          <w:rFonts w:ascii="Montserrat" w:hAnsi="Montserrat"/>
        </w:rPr>
        <w:t xml:space="preserve">cumplimiento del mandato de </w:t>
      </w:r>
      <w:r w:rsidRPr="001071D5">
        <w:rPr>
          <w:rFonts w:ascii="Montserrat" w:hAnsi="Montserrat"/>
        </w:rPr>
        <w:t>la COPADEH.</w:t>
      </w:r>
    </w:p>
    <w:p w14:paraId="11330B2F" w14:textId="053E0189" w:rsidR="00F35396" w:rsidRDefault="00F35396" w:rsidP="00F8567C">
      <w:pPr>
        <w:spacing w:after="0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ACCIONES </w:t>
      </w:r>
      <w:r w:rsidR="002F4A8B">
        <w:rPr>
          <w:rFonts w:ascii="Montserrat" w:hAnsi="Montserrat"/>
          <w:b/>
          <w:bCs/>
        </w:rPr>
        <w:t>PARA</w:t>
      </w:r>
      <w:r>
        <w:rPr>
          <w:rFonts w:ascii="Montserrat" w:hAnsi="Montserrat"/>
          <w:b/>
          <w:bCs/>
        </w:rPr>
        <w:t xml:space="preserve"> </w:t>
      </w:r>
      <w:r w:rsidRPr="00771B9A">
        <w:rPr>
          <w:rFonts w:ascii="Montserrat" w:hAnsi="Montserrat"/>
          <w:b/>
          <w:bCs/>
        </w:rPr>
        <w:t>LA TRANSPARENCIA, LA CALIDAD DEL GASTO PÚBLICO Y LA RENDICIÓN DE CUENTAS</w:t>
      </w:r>
      <w:r>
        <w:rPr>
          <w:rFonts w:ascii="Montserrat" w:hAnsi="Montserrat"/>
          <w:b/>
          <w:bCs/>
        </w:rPr>
        <w:t>:</w:t>
      </w:r>
    </w:p>
    <w:p w14:paraId="0C51A795" w14:textId="77777777" w:rsidR="00EF6923" w:rsidRDefault="00EF6923" w:rsidP="00F36AAC">
      <w:pPr>
        <w:spacing w:after="0"/>
        <w:jc w:val="both"/>
        <w:rPr>
          <w:rFonts w:ascii="Montserrat" w:hAnsi="Montserrat"/>
        </w:rPr>
      </w:pPr>
    </w:p>
    <w:p w14:paraId="05D2694C" w14:textId="203E2D04" w:rsidR="0040139D" w:rsidRDefault="00D65736" w:rsidP="00F36AAC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COPADEH </w:t>
      </w:r>
      <w:r w:rsidR="0040139D">
        <w:rPr>
          <w:rFonts w:ascii="Montserrat" w:hAnsi="Montserrat"/>
        </w:rPr>
        <w:t xml:space="preserve">cuenta con un presupuesto </w:t>
      </w:r>
      <w:r w:rsidR="00F36AAC">
        <w:rPr>
          <w:rFonts w:ascii="Montserrat" w:hAnsi="Montserrat"/>
        </w:rPr>
        <w:t xml:space="preserve">de Q35 millones, un presupuesto </w:t>
      </w:r>
      <w:r w:rsidR="0040139D">
        <w:rPr>
          <w:rFonts w:ascii="Montserrat" w:hAnsi="Montserrat"/>
        </w:rPr>
        <w:t xml:space="preserve">austero </w:t>
      </w:r>
      <w:r>
        <w:rPr>
          <w:rFonts w:ascii="Montserrat" w:hAnsi="Montserrat"/>
        </w:rPr>
        <w:t>desde el inicio de su gestión</w:t>
      </w:r>
      <w:r w:rsidR="00F36AAC">
        <w:rPr>
          <w:rFonts w:ascii="Montserrat" w:hAnsi="Montserrat"/>
        </w:rPr>
        <w:t xml:space="preserve">, lo que ha generado una óptima utilización de los recursos. </w:t>
      </w:r>
    </w:p>
    <w:p w14:paraId="45C97C65" w14:textId="77777777" w:rsidR="00F36AAC" w:rsidRDefault="00F36AAC" w:rsidP="00F8567C">
      <w:pPr>
        <w:spacing w:after="0"/>
        <w:jc w:val="both"/>
        <w:rPr>
          <w:rFonts w:ascii="Montserrat" w:hAnsi="Montserrat"/>
        </w:rPr>
      </w:pPr>
    </w:p>
    <w:p w14:paraId="5CA2531F" w14:textId="32E595DE" w:rsidR="0040139D" w:rsidRDefault="00F36AAC" w:rsidP="00F8567C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el ejercicio fiscal 2023 se establecen las siguientes medidas de transparencia para la ejecución del gasto y la gestión institucional: </w:t>
      </w:r>
    </w:p>
    <w:p w14:paraId="28BE05D2" w14:textId="77777777" w:rsidR="00F8567C" w:rsidRDefault="00F8567C" w:rsidP="00F8567C">
      <w:pPr>
        <w:spacing w:after="0"/>
        <w:jc w:val="both"/>
        <w:rPr>
          <w:rFonts w:ascii="Montserrat" w:hAnsi="Montserrat"/>
        </w:rPr>
      </w:pPr>
    </w:p>
    <w:p w14:paraId="66D02EDF" w14:textId="36CD9540" w:rsidR="004A2283" w:rsidRDefault="004A2283" w:rsidP="00F8567C">
      <w:pPr>
        <w:pStyle w:val="Prrafodelista"/>
        <w:numPr>
          <w:ilvl w:val="0"/>
          <w:numId w:val="1"/>
        </w:num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>Entrega de planes operativos anuales por cada dependencia de la COPADEH.</w:t>
      </w:r>
    </w:p>
    <w:p w14:paraId="022BDEAF" w14:textId="77777777" w:rsidR="002913FA" w:rsidRDefault="002913FA" w:rsidP="002913FA">
      <w:pPr>
        <w:pStyle w:val="Prrafodelista"/>
        <w:spacing w:after="0"/>
        <w:jc w:val="both"/>
        <w:rPr>
          <w:rFonts w:ascii="Montserrat" w:hAnsi="Montserrat"/>
        </w:rPr>
      </w:pPr>
    </w:p>
    <w:p w14:paraId="60D181E5" w14:textId="07E37FBC" w:rsidR="00D65736" w:rsidRDefault="004A2283" w:rsidP="00F8567C">
      <w:pPr>
        <w:pStyle w:val="Prrafodelista"/>
        <w:numPr>
          <w:ilvl w:val="0"/>
          <w:numId w:val="1"/>
        </w:num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Revisión de los </w:t>
      </w:r>
      <w:r w:rsidR="00D65736" w:rsidRPr="00E94EF3">
        <w:rPr>
          <w:rFonts w:ascii="Montserrat" w:hAnsi="Montserrat"/>
        </w:rPr>
        <w:t xml:space="preserve"> lo</w:t>
      </w:r>
      <w:r w:rsidR="0040139D" w:rsidRPr="00E94EF3">
        <w:rPr>
          <w:rFonts w:ascii="Montserrat" w:hAnsi="Montserrat"/>
        </w:rPr>
        <w:t xml:space="preserve">s planes operativos </w:t>
      </w:r>
      <w:r>
        <w:rPr>
          <w:rFonts w:ascii="Montserrat" w:hAnsi="Montserrat"/>
        </w:rPr>
        <w:t xml:space="preserve">anuales </w:t>
      </w:r>
      <w:r w:rsidR="004961C0">
        <w:rPr>
          <w:rFonts w:ascii="Montserrat" w:hAnsi="Montserrat"/>
        </w:rPr>
        <w:t>por la Unidad de</w:t>
      </w:r>
      <w:r w:rsidR="004961C0" w:rsidRPr="00E94EF3">
        <w:rPr>
          <w:rFonts w:ascii="Montserrat" w:hAnsi="Montserrat"/>
        </w:rPr>
        <w:t xml:space="preserve"> </w:t>
      </w:r>
      <w:r w:rsidR="004961C0">
        <w:rPr>
          <w:rFonts w:ascii="Montserrat" w:hAnsi="Montserrat"/>
        </w:rPr>
        <w:t>P</w:t>
      </w:r>
      <w:r w:rsidR="004961C0" w:rsidRPr="00E94EF3">
        <w:rPr>
          <w:rFonts w:ascii="Montserrat" w:hAnsi="Montserrat"/>
        </w:rPr>
        <w:t>lanificación</w:t>
      </w:r>
      <w:r w:rsidR="004961C0">
        <w:rPr>
          <w:rFonts w:ascii="Montserrat" w:hAnsi="Montserrat"/>
        </w:rPr>
        <w:t xml:space="preserve"> y el Departamento Financiero  para verificar que se ajusten a su techo presupuestario y </w:t>
      </w:r>
      <w:r w:rsidR="002913FA">
        <w:rPr>
          <w:rFonts w:ascii="Montserrat" w:hAnsi="Montserrat"/>
        </w:rPr>
        <w:t>a las metas físicas que establecieron.  Se aprueban con la firma</w:t>
      </w:r>
      <w:r w:rsidR="002F4A8B">
        <w:rPr>
          <w:rFonts w:ascii="Montserrat" w:hAnsi="Montserrat"/>
        </w:rPr>
        <w:t>,</w:t>
      </w:r>
      <w:r w:rsidR="002913FA">
        <w:rPr>
          <w:rFonts w:ascii="Montserrat" w:hAnsi="Montserrat"/>
        </w:rPr>
        <w:t xml:space="preserve"> en cada documento, por parte de la autoridad superior</w:t>
      </w:r>
      <w:r w:rsidR="004961C0" w:rsidRPr="00E94EF3">
        <w:rPr>
          <w:rFonts w:ascii="Montserrat" w:hAnsi="Montserrat"/>
        </w:rPr>
        <w:t xml:space="preserve">. </w:t>
      </w:r>
      <w:r w:rsidR="0040139D" w:rsidRPr="00E94EF3">
        <w:rPr>
          <w:rFonts w:ascii="Montserrat" w:hAnsi="Montserrat"/>
        </w:rPr>
        <w:t xml:space="preserve">Esto permite </w:t>
      </w:r>
      <w:r w:rsidR="002913FA">
        <w:rPr>
          <w:rFonts w:ascii="Montserrat" w:hAnsi="Montserrat"/>
        </w:rPr>
        <w:t>orientar el gasto hacia la Planificación institucional.</w:t>
      </w:r>
      <w:r w:rsidR="0040139D" w:rsidRPr="00E94EF3">
        <w:rPr>
          <w:rFonts w:ascii="Montserrat" w:hAnsi="Montserrat"/>
        </w:rPr>
        <w:t xml:space="preserve"> </w:t>
      </w:r>
    </w:p>
    <w:p w14:paraId="525BBA40" w14:textId="77777777" w:rsidR="00E94EF3" w:rsidRDefault="00E94EF3" w:rsidP="00F8567C">
      <w:pPr>
        <w:pStyle w:val="Prrafodelista"/>
        <w:spacing w:after="0"/>
        <w:jc w:val="both"/>
        <w:rPr>
          <w:rFonts w:ascii="Montserrat" w:hAnsi="Montserrat"/>
        </w:rPr>
      </w:pPr>
    </w:p>
    <w:p w14:paraId="1CA08DCD" w14:textId="42640B26" w:rsidR="00AF4A5E" w:rsidRDefault="00AF4A5E" w:rsidP="00F8567C">
      <w:pPr>
        <w:pStyle w:val="Prrafodelista"/>
        <w:numPr>
          <w:ilvl w:val="0"/>
          <w:numId w:val="1"/>
        </w:num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>Desglose mensual del plan operativo anual</w:t>
      </w:r>
      <w:r w:rsidR="002F4A8B">
        <w:rPr>
          <w:rFonts w:ascii="Montserrat" w:hAnsi="Montserrat"/>
        </w:rPr>
        <w:t>.</w:t>
      </w:r>
    </w:p>
    <w:p w14:paraId="566CB774" w14:textId="77777777" w:rsidR="00AF4A5E" w:rsidRPr="00AF4A5E" w:rsidRDefault="00AF4A5E" w:rsidP="00F8567C">
      <w:pPr>
        <w:pStyle w:val="Prrafodelista"/>
        <w:spacing w:after="0"/>
        <w:rPr>
          <w:rFonts w:ascii="Montserrat" w:hAnsi="Montserrat"/>
        </w:rPr>
      </w:pPr>
    </w:p>
    <w:p w14:paraId="21AF2947" w14:textId="130C76B7" w:rsidR="00E94EF3" w:rsidRDefault="000B43F6" w:rsidP="00F8567C">
      <w:pPr>
        <w:pStyle w:val="Prrafodelista"/>
        <w:numPr>
          <w:ilvl w:val="0"/>
          <w:numId w:val="1"/>
        </w:num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Seguimiento mensual </w:t>
      </w:r>
      <w:r w:rsidR="00AF4A5E">
        <w:rPr>
          <w:rFonts w:ascii="Montserrat" w:hAnsi="Montserrat"/>
        </w:rPr>
        <w:t>del Plan Operativo Anual con relación a las actividades, ejecución de metas y ejecución presupuestaria, con</w:t>
      </w:r>
      <w:r w:rsidR="00E94EF3">
        <w:rPr>
          <w:rFonts w:ascii="Montserrat" w:hAnsi="Montserrat"/>
        </w:rPr>
        <w:t xml:space="preserve"> el objetivo de la toma oportuna de decisiones.</w:t>
      </w:r>
    </w:p>
    <w:p w14:paraId="57CF56CB" w14:textId="77777777" w:rsidR="00E94EF3" w:rsidRPr="00E94EF3" w:rsidRDefault="00E94EF3" w:rsidP="00F8567C">
      <w:pPr>
        <w:pStyle w:val="Prrafodelista"/>
        <w:spacing w:after="0"/>
        <w:rPr>
          <w:rFonts w:ascii="Montserrat" w:hAnsi="Montserrat"/>
        </w:rPr>
      </w:pPr>
    </w:p>
    <w:p w14:paraId="6E63A116" w14:textId="0219D1A8" w:rsidR="00E94EF3" w:rsidRDefault="00E94EF3" w:rsidP="00F8567C">
      <w:pPr>
        <w:pStyle w:val="Prrafodelista"/>
        <w:numPr>
          <w:ilvl w:val="0"/>
          <w:numId w:val="1"/>
        </w:num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>Reorienta</w:t>
      </w:r>
      <w:r w:rsidR="002913FA">
        <w:rPr>
          <w:rFonts w:ascii="Montserrat" w:hAnsi="Montserrat"/>
        </w:rPr>
        <w:t xml:space="preserve">ción de </w:t>
      </w:r>
      <w:r w:rsidR="00AF4A5E">
        <w:rPr>
          <w:rFonts w:ascii="Montserrat" w:hAnsi="Montserrat"/>
        </w:rPr>
        <w:t xml:space="preserve">las economías en </w:t>
      </w:r>
      <w:r>
        <w:rPr>
          <w:rFonts w:ascii="Montserrat" w:hAnsi="Montserrat"/>
        </w:rPr>
        <w:t>el presupuesto</w:t>
      </w:r>
      <w:r w:rsidR="002913FA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r w:rsidR="00AF4A5E">
        <w:rPr>
          <w:rFonts w:ascii="Montserrat" w:hAnsi="Montserrat"/>
        </w:rPr>
        <w:t xml:space="preserve">para fortalecer las actividades que </w:t>
      </w:r>
      <w:r>
        <w:rPr>
          <w:rFonts w:ascii="Montserrat" w:hAnsi="Montserrat"/>
        </w:rPr>
        <w:t xml:space="preserve">potencian de mejor manera el cumplimiento </w:t>
      </w:r>
      <w:r w:rsidR="000B43F6">
        <w:rPr>
          <w:rFonts w:ascii="Montserrat" w:hAnsi="Montserrat"/>
        </w:rPr>
        <w:t>de</w:t>
      </w:r>
      <w:r>
        <w:rPr>
          <w:rFonts w:ascii="Montserrat" w:hAnsi="Montserrat"/>
        </w:rPr>
        <w:t xml:space="preserve">l mandato. </w:t>
      </w:r>
    </w:p>
    <w:p w14:paraId="4F331D4B" w14:textId="77777777" w:rsidR="00F35396" w:rsidRPr="00F35396" w:rsidRDefault="00F35396" w:rsidP="00F8567C">
      <w:pPr>
        <w:pStyle w:val="Prrafodelista"/>
        <w:spacing w:after="0"/>
        <w:rPr>
          <w:rFonts w:ascii="Montserrat" w:hAnsi="Montserrat"/>
        </w:rPr>
      </w:pPr>
    </w:p>
    <w:p w14:paraId="513090E2" w14:textId="617BD1AF" w:rsidR="00F35396" w:rsidRDefault="00F35396" w:rsidP="00F8567C">
      <w:pPr>
        <w:pStyle w:val="Prrafodelista"/>
        <w:numPr>
          <w:ilvl w:val="0"/>
          <w:numId w:val="1"/>
        </w:num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>Publica</w:t>
      </w:r>
      <w:r w:rsidR="002913FA">
        <w:rPr>
          <w:rFonts w:ascii="Montserrat" w:hAnsi="Montserrat"/>
        </w:rPr>
        <w:t>ción</w:t>
      </w:r>
      <w:r>
        <w:rPr>
          <w:rFonts w:ascii="Montserrat" w:hAnsi="Montserrat"/>
        </w:rPr>
        <w:t xml:space="preserve"> </w:t>
      </w:r>
      <w:r w:rsidR="00531332">
        <w:rPr>
          <w:rFonts w:ascii="Montserrat" w:hAnsi="Montserrat"/>
        </w:rPr>
        <w:t xml:space="preserve">en su página Web, de libre acceso a la ciudadanía, </w:t>
      </w:r>
      <w:r w:rsidR="00AF4A5E">
        <w:rPr>
          <w:rFonts w:ascii="Montserrat" w:hAnsi="Montserrat"/>
        </w:rPr>
        <w:t>informes mensuales</w:t>
      </w:r>
      <w:r>
        <w:rPr>
          <w:rFonts w:ascii="Montserrat" w:hAnsi="Montserrat"/>
        </w:rPr>
        <w:t xml:space="preserve"> </w:t>
      </w:r>
      <w:r w:rsidR="00531332">
        <w:rPr>
          <w:rFonts w:ascii="Montserrat" w:hAnsi="Montserrat"/>
        </w:rPr>
        <w:t>d</w:t>
      </w:r>
      <w:r>
        <w:rPr>
          <w:rFonts w:ascii="Montserrat" w:hAnsi="Montserrat"/>
        </w:rPr>
        <w:t xml:space="preserve">el avance de la implementación del </w:t>
      </w:r>
      <w:r w:rsidR="00AF4A5E">
        <w:rPr>
          <w:rFonts w:ascii="Montserrat" w:hAnsi="Montserrat"/>
        </w:rPr>
        <w:t>P</w:t>
      </w:r>
      <w:r>
        <w:rPr>
          <w:rFonts w:ascii="Montserrat" w:hAnsi="Montserrat"/>
        </w:rPr>
        <w:t xml:space="preserve">lan </w:t>
      </w:r>
      <w:r w:rsidR="00AF4A5E">
        <w:rPr>
          <w:rFonts w:ascii="Montserrat" w:hAnsi="Montserrat"/>
        </w:rPr>
        <w:t>O</w:t>
      </w:r>
      <w:r>
        <w:rPr>
          <w:rFonts w:ascii="Montserrat" w:hAnsi="Montserrat"/>
        </w:rPr>
        <w:t>perativo</w:t>
      </w:r>
      <w:r w:rsidR="00AF4A5E">
        <w:rPr>
          <w:rFonts w:ascii="Montserrat" w:hAnsi="Montserrat"/>
        </w:rPr>
        <w:t xml:space="preserve"> anual 2022</w:t>
      </w:r>
      <w:r w:rsidR="001B6743">
        <w:rPr>
          <w:rFonts w:ascii="Montserrat" w:hAnsi="Montserrat"/>
        </w:rPr>
        <w:t>.</w:t>
      </w:r>
    </w:p>
    <w:p w14:paraId="5D88D495" w14:textId="77777777" w:rsidR="000B43F6" w:rsidRPr="000B43F6" w:rsidRDefault="000B43F6" w:rsidP="00F8567C">
      <w:pPr>
        <w:pStyle w:val="Prrafodelista"/>
        <w:spacing w:after="0"/>
        <w:rPr>
          <w:rFonts w:ascii="Montserrat" w:hAnsi="Montserrat"/>
        </w:rPr>
      </w:pPr>
    </w:p>
    <w:p w14:paraId="668A2A62" w14:textId="08AD5F2E" w:rsidR="000B43F6" w:rsidRDefault="00531332" w:rsidP="00F8567C">
      <w:pPr>
        <w:pStyle w:val="Prrafodelista"/>
        <w:numPr>
          <w:ilvl w:val="0"/>
          <w:numId w:val="1"/>
        </w:num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>Publica</w:t>
      </w:r>
      <w:r w:rsidR="002913FA">
        <w:rPr>
          <w:rFonts w:ascii="Montserrat" w:hAnsi="Montserrat"/>
        </w:rPr>
        <w:t>ción</w:t>
      </w:r>
      <w:r>
        <w:rPr>
          <w:rFonts w:ascii="Montserrat" w:hAnsi="Montserrat"/>
        </w:rPr>
        <w:t xml:space="preserve"> en su página Web, de libre acceso a la ciudadanía, </w:t>
      </w:r>
      <w:r w:rsidR="002913FA">
        <w:rPr>
          <w:rFonts w:ascii="Montserrat" w:hAnsi="Montserrat"/>
        </w:rPr>
        <w:t xml:space="preserve">según lo establecido en la ley y de </w:t>
      </w:r>
      <w:r>
        <w:rPr>
          <w:rFonts w:ascii="Montserrat" w:hAnsi="Montserrat"/>
        </w:rPr>
        <w:t xml:space="preserve">forma </w:t>
      </w:r>
      <w:r w:rsidR="002F4A8B">
        <w:rPr>
          <w:rFonts w:ascii="Montserrat" w:hAnsi="Montserrat"/>
        </w:rPr>
        <w:t xml:space="preserve">cuatrimestral de </w:t>
      </w:r>
      <w:r w:rsidR="000B43F6">
        <w:rPr>
          <w:rFonts w:ascii="Montserrat" w:hAnsi="Montserrat"/>
        </w:rPr>
        <w:t xml:space="preserve">los </w:t>
      </w:r>
      <w:r w:rsidR="002F4A8B">
        <w:rPr>
          <w:rFonts w:ascii="Montserrat" w:hAnsi="Montserrat"/>
        </w:rPr>
        <w:t xml:space="preserve">2 </w:t>
      </w:r>
      <w:r w:rsidR="000B43F6">
        <w:rPr>
          <w:rFonts w:ascii="Montserrat" w:hAnsi="Montserrat"/>
        </w:rPr>
        <w:t>informes de rendición de cuentas</w:t>
      </w:r>
      <w:r w:rsidR="002F4A8B">
        <w:rPr>
          <w:rFonts w:ascii="Montserrat" w:hAnsi="Montserrat"/>
        </w:rPr>
        <w:t xml:space="preserve"> que se remite al Ministerio de Finanzas Públicos que se debe generar en el Sistema de Contabilidad Integrada, SICOIN; el Informe de Rendición de Cuentas que se remite en las plantillas establecidas por la Comisión Presidencial contra la Corrupción y al Ministerio de Finanzas Públicas</w:t>
      </w:r>
      <w:r w:rsidR="005143B6">
        <w:rPr>
          <w:rFonts w:ascii="Montserrat" w:hAnsi="Montserrat"/>
        </w:rPr>
        <w:t>;</w:t>
      </w:r>
      <w:r w:rsidR="002F4A8B">
        <w:rPr>
          <w:rFonts w:ascii="Montserrat" w:hAnsi="Montserrat"/>
        </w:rPr>
        <w:t xml:space="preserve"> el informe del Clasificador Temático que se genera en SICOIN  y se remite a </w:t>
      </w:r>
      <w:r w:rsidR="00604648">
        <w:rPr>
          <w:rFonts w:ascii="Montserrat" w:hAnsi="Montserrat"/>
        </w:rPr>
        <w:t>la Secretaría Presidencial de la Mujer-SEPREM-</w:t>
      </w:r>
      <w:r w:rsidR="002F4A8B">
        <w:rPr>
          <w:rFonts w:ascii="Montserrat" w:hAnsi="Montserrat"/>
        </w:rPr>
        <w:t xml:space="preserve"> y al Ministerio de Finanzas Públicas</w:t>
      </w:r>
      <w:r w:rsidR="005143B6">
        <w:rPr>
          <w:rFonts w:ascii="Montserrat" w:hAnsi="Montserrat"/>
        </w:rPr>
        <w:t>;</w:t>
      </w:r>
      <w:r w:rsidR="002F4A8B">
        <w:rPr>
          <w:rFonts w:ascii="Montserrat" w:hAnsi="Montserrat"/>
        </w:rPr>
        <w:t xml:space="preserve"> el Informe de Avance Físico y Financiero que se elabora con base en los datos del Sistema de Gestión -SIGES- y se ingresa al Sistema de Planificación -SIPLAN- el cual se  remite a Segeplan, </w:t>
      </w:r>
      <w:r w:rsidR="005143B6">
        <w:rPr>
          <w:rFonts w:ascii="Montserrat" w:hAnsi="Montserrat"/>
        </w:rPr>
        <w:t xml:space="preserve">el Informe de Avance Físico y Financiero de Cooperación que se registra en </w:t>
      </w:r>
      <w:r w:rsidR="005143B6" w:rsidRPr="005143B6">
        <w:rPr>
          <w:rFonts w:ascii="Montserrat" w:hAnsi="Montserrat"/>
        </w:rPr>
        <w:t>Sistema de Gestión, Ejecución y Análisis de la Cooperación Internacional</w:t>
      </w:r>
      <w:r w:rsidR="005143B6">
        <w:rPr>
          <w:rFonts w:ascii="Montserrat" w:hAnsi="Montserrat"/>
        </w:rPr>
        <w:t xml:space="preserve">, </w:t>
      </w:r>
      <w:r w:rsidR="005143B6" w:rsidRPr="005143B6">
        <w:rPr>
          <w:rFonts w:ascii="Montserrat" w:hAnsi="Montserrat"/>
        </w:rPr>
        <w:t xml:space="preserve"> </w:t>
      </w:r>
      <w:r w:rsidR="005143B6">
        <w:rPr>
          <w:rFonts w:ascii="Montserrat" w:hAnsi="Montserrat"/>
        </w:rPr>
        <w:t xml:space="preserve">SIGEACI y se envía a Segeplan; el </w:t>
      </w:r>
      <w:r w:rsidR="002F4A8B">
        <w:rPr>
          <w:rFonts w:ascii="Montserrat" w:hAnsi="Montserrat"/>
        </w:rPr>
        <w:t>informe trimestral que se remite a la Comisión interinstitucional de la COPADEH</w:t>
      </w:r>
      <w:r w:rsidR="005143B6">
        <w:rPr>
          <w:rFonts w:ascii="Montserrat" w:hAnsi="Montserrat"/>
        </w:rPr>
        <w:t>, entre otros</w:t>
      </w:r>
      <w:r w:rsidR="002F4A8B">
        <w:rPr>
          <w:rFonts w:ascii="Montserrat" w:hAnsi="Montserrat"/>
        </w:rPr>
        <w:t xml:space="preserve">. </w:t>
      </w:r>
    </w:p>
    <w:p w14:paraId="633C27BA" w14:textId="77777777" w:rsidR="00531332" w:rsidRPr="00531332" w:rsidRDefault="00531332" w:rsidP="00F8567C">
      <w:pPr>
        <w:pStyle w:val="Prrafodelista"/>
        <w:spacing w:after="0"/>
        <w:rPr>
          <w:rFonts w:ascii="Montserrat" w:hAnsi="Montserrat"/>
        </w:rPr>
      </w:pPr>
    </w:p>
    <w:p w14:paraId="14F3ACE2" w14:textId="15DC22DE" w:rsidR="00531332" w:rsidRDefault="00531332" w:rsidP="00F8567C">
      <w:pPr>
        <w:pStyle w:val="Prrafodelista"/>
        <w:numPr>
          <w:ilvl w:val="0"/>
          <w:numId w:val="1"/>
        </w:num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>Publicar en su página Web, de libre acceso a la ciudadanía, l</w:t>
      </w:r>
      <w:r w:rsidR="002913FA">
        <w:rPr>
          <w:rFonts w:ascii="Montserrat" w:hAnsi="Montserrat"/>
        </w:rPr>
        <w:t xml:space="preserve">a información de acuerdo a </w:t>
      </w:r>
      <w:r>
        <w:rPr>
          <w:rFonts w:ascii="Montserrat" w:hAnsi="Montserrat"/>
        </w:rPr>
        <w:t xml:space="preserve">la Ley de Acceso a la Información Pública facilitando su búsqueda y comprensión. </w:t>
      </w:r>
    </w:p>
    <w:p w14:paraId="73351700" w14:textId="77777777" w:rsidR="000B43F6" w:rsidRPr="000B43F6" w:rsidRDefault="000B43F6" w:rsidP="00F8567C">
      <w:pPr>
        <w:pStyle w:val="Prrafodelista"/>
        <w:spacing w:after="0"/>
        <w:rPr>
          <w:rFonts w:ascii="Montserrat" w:hAnsi="Montserrat"/>
        </w:rPr>
      </w:pPr>
    </w:p>
    <w:p w14:paraId="4BF1E63E" w14:textId="1489B5CC" w:rsidR="00531332" w:rsidRDefault="002913FA" w:rsidP="00F8567C">
      <w:pPr>
        <w:pStyle w:val="Prrafodelista"/>
        <w:numPr>
          <w:ilvl w:val="0"/>
          <w:numId w:val="1"/>
        </w:num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Cartas de compromiso firmadas por todos los servidores públicos de la COPADEH para </w:t>
      </w:r>
      <w:r w:rsidR="00531332">
        <w:rPr>
          <w:rFonts w:ascii="Montserrat" w:hAnsi="Montserrat"/>
        </w:rPr>
        <w:t xml:space="preserve"> fortalecer el control interno de la Institución a través de la implementación del Sistema de Control Interno Gubernamental </w:t>
      </w:r>
      <w:r w:rsidR="005158ED">
        <w:rPr>
          <w:rFonts w:ascii="Montserrat" w:hAnsi="Montserrat"/>
        </w:rPr>
        <w:t>-SINACIG-</w:t>
      </w:r>
    </w:p>
    <w:p w14:paraId="1A1ABFA1" w14:textId="77777777" w:rsidR="00531332" w:rsidRPr="00531332" w:rsidRDefault="00531332" w:rsidP="00F8567C">
      <w:pPr>
        <w:pStyle w:val="Prrafodelista"/>
        <w:spacing w:after="0"/>
        <w:rPr>
          <w:rFonts w:ascii="Montserrat" w:hAnsi="Montserrat"/>
        </w:rPr>
      </w:pPr>
    </w:p>
    <w:p w14:paraId="7DE0974C" w14:textId="4BEA349A" w:rsidR="00531332" w:rsidRDefault="00531332" w:rsidP="00F8567C">
      <w:pPr>
        <w:pStyle w:val="Prrafodelista"/>
        <w:numPr>
          <w:ilvl w:val="0"/>
          <w:numId w:val="1"/>
        </w:num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 Código de Ética y su respectivo Reglamento</w:t>
      </w:r>
      <w:r w:rsidR="005143B6">
        <w:rPr>
          <w:rFonts w:ascii="Montserrat" w:hAnsi="Montserrat"/>
        </w:rPr>
        <w:t xml:space="preserve"> socializado entre los servidores públicos de la institución</w:t>
      </w:r>
      <w:r>
        <w:rPr>
          <w:rFonts w:ascii="Montserrat" w:hAnsi="Montserrat"/>
        </w:rPr>
        <w:t>.</w:t>
      </w:r>
    </w:p>
    <w:p w14:paraId="2C192796" w14:textId="77777777" w:rsidR="00531332" w:rsidRPr="00531332" w:rsidRDefault="00531332" w:rsidP="00F8567C">
      <w:pPr>
        <w:pStyle w:val="Prrafodelista"/>
        <w:spacing w:after="0"/>
        <w:rPr>
          <w:rFonts w:ascii="Montserrat" w:hAnsi="Montserrat"/>
        </w:rPr>
      </w:pPr>
    </w:p>
    <w:p w14:paraId="7A38917C" w14:textId="15745BD6" w:rsidR="00F8567C" w:rsidRPr="00D873A0" w:rsidRDefault="00604648" w:rsidP="00F8567C">
      <w:pPr>
        <w:pStyle w:val="Prrafodelista"/>
        <w:numPr>
          <w:ilvl w:val="0"/>
          <w:numId w:val="1"/>
        </w:numPr>
        <w:spacing w:after="0"/>
        <w:jc w:val="both"/>
        <w:rPr>
          <w:rFonts w:ascii="Montserrat" w:hAnsi="Montserrat"/>
          <w:strike/>
        </w:rPr>
      </w:pPr>
      <w:r w:rsidRPr="00D873A0">
        <w:rPr>
          <w:rFonts w:ascii="Montserrat" w:hAnsi="Montserrat"/>
        </w:rPr>
        <w:t>V</w:t>
      </w:r>
      <w:r w:rsidR="00F8567C" w:rsidRPr="00D873A0">
        <w:rPr>
          <w:rFonts w:ascii="Montserrat" w:hAnsi="Montserrat"/>
        </w:rPr>
        <w:t>iajes al exterior, se realizarán solamente l</w:t>
      </w:r>
      <w:r w:rsidR="00FD20F4" w:rsidRPr="00D873A0">
        <w:rPr>
          <w:rFonts w:ascii="Montserrat" w:hAnsi="Montserrat"/>
        </w:rPr>
        <w:t>o</w:t>
      </w:r>
      <w:r w:rsidR="00F8567C" w:rsidRPr="00D873A0">
        <w:rPr>
          <w:rFonts w:ascii="Montserrat" w:hAnsi="Montserrat"/>
        </w:rPr>
        <w:t xml:space="preserve">s que en función del objeto de la Comisión </w:t>
      </w:r>
      <w:r w:rsidR="00FD20F4" w:rsidRPr="00D873A0">
        <w:rPr>
          <w:rFonts w:ascii="Montserrat" w:hAnsi="Montserrat"/>
        </w:rPr>
        <w:t>sean necesarios.</w:t>
      </w:r>
    </w:p>
    <w:p w14:paraId="0AC36277" w14:textId="77777777" w:rsidR="00F8567C" w:rsidRPr="005143B6" w:rsidRDefault="00F8567C" w:rsidP="00F8567C">
      <w:pPr>
        <w:pStyle w:val="Prrafodelista"/>
        <w:rPr>
          <w:rFonts w:ascii="Montserrat" w:hAnsi="Montserrat"/>
          <w:highlight w:val="yellow"/>
        </w:rPr>
      </w:pPr>
    </w:p>
    <w:p w14:paraId="67324445" w14:textId="52932867" w:rsidR="00F8567C" w:rsidRPr="00D873A0" w:rsidRDefault="00F8567C" w:rsidP="00F8567C">
      <w:pPr>
        <w:pStyle w:val="Prrafodelista"/>
        <w:numPr>
          <w:ilvl w:val="0"/>
          <w:numId w:val="1"/>
        </w:numPr>
        <w:spacing w:after="0"/>
        <w:jc w:val="both"/>
        <w:rPr>
          <w:rFonts w:ascii="Montserrat" w:hAnsi="Montserrat"/>
        </w:rPr>
      </w:pPr>
      <w:r w:rsidRPr="00D873A0">
        <w:rPr>
          <w:rFonts w:ascii="Montserrat" w:hAnsi="Montserrat"/>
        </w:rPr>
        <w:t xml:space="preserve">Reducción de los </w:t>
      </w:r>
      <w:r w:rsidR="000A2042" w:rsidRPr="00D873A0">
        <w:rPr>
          <w:rFonts w:ascii="Montserrat" w:hAnsi="Montserrat"/>
        </w:rPr>
        <w:t xml:space="preserve">montos invertidos </w:t>
      </w:r>
      <w:r w:rsidR="00FD20F4" w:rsidRPr="00D873A0">
        <w:rPr>
          <w:rFonts w:ascii="Montserrat" w:hAnsi="Montserrat"/>
        </w:rPr>
        <w:t xml:space="preserve">en </w:t>
      </w:r>
      <w:r w:rsidRPr="00D873A0">
        <w:rPr>
          <w:rFonts w:ascii="Montserrat" w:hAnsi="Montserrat"/>
        </w:rPr>
        <w:t>arrendamiento</w:t>
      </w:r>
      <w:r w:rsidR="000A2042" w:rsidRPr="00D873A0">
        <w:rPr>
          <w:rFonts w:ascii="Montserrat" w:hAnsi="Montserrat"/>
        </w:rPr>
        <w:t>s</w:t>
      </w:r>
      <w:r w:rsidRPr="00D873A0">
        <w:rPr>
          <w:rFonts w:ascii="Montserrat" w:hAnsi="Montserrat"/>
        </w:rPr>
        <w:t>, concentrándose en inmuebles más amplios y más económicos.</w:t>
      </w:r>
    </w:p>
    <w:p w14:paraId="7F4E3D8D" w14:textId="77777777" w:rsidR="00F8567C" w:rsidRPr="00D873A0" w:rsidRDefault="00F8567C" w:rsidP="00F8567C">
      <w:pPr>
        <w:pStyle w:val="Prrafodelista"/>
        <w:rPr>
          <w:rFonts w:ascii="Montserrat" w:hAnsi="Montserrat"/>
        </w:rPr>
      </w:pPr>
    </w:p>
    <w:p w14:paraId="0E71FF95" w14:textId="7EC92A0F" w:rsidR="00F8567C" w:rsidRPr="00D873A0" w:rsidRDefault="00604648" w:rsidP="00F8567C">
      <w:pPr>
        <w:pStyle w:val="Prrafodelista"/>
        <w:numPr>
          <w:ilvl w:val="0"/>
          <w:numId w:val="1"/>
        </w:numPr>
        <w:spacing w:after="0"/>
        <w:jc w:val="both"/>
        <w:rPr>
          <w:rFonts w:ascii="Montserrat" w:hAnsi="Montserrat"/>
        </w:rPr>
      </w:pPr>
      <w:r w:rsidRPr="00D873A0">
        <w:rPr>
          <w:rFonts w:ascii="Montserrat" w:hAnsi="Montserrat"/>
        </w:rPr>
        <w:t>E</w:t>
      </w:r>
      <w:r w:rsidR="00F8567C" w:rsidRPr="00D873A0">
        <w:rPr>
          <w:rFonts w:ascii="Montserrat" w:hAnsi="Montserrat"/>
        </w:rPr>
        <w:t>n el rubro de propiedad, planta y equipo</w:t>
      </w:r>
      <w:r w:rsidR="00FD20F4" w:rsidRPr="00D873A0">
        <w:rPr>
          <w:rFonts w:ascii="Montserrat" w:hAnsi="Montserrat"/>
        </w:rPr>
        <w:t xml:space="preserve">, se realizarán las adquisiciones que sean necesarias. </w:t>
      </w:r>
    </w:p>
    <w:p w14:paraId="3A5214A5" w14:textId="77777777" w:rsidR="00F8567C" w:rsidRPr="005143B6" w:rsidRDefault="00F8567C" w:rsidP="00F8567C">
      <w:pPr>
        <w:pStyle w:val="Prrafodelista"/>
        <w:rPr>
          <w:rFonts w:ascii="Montserrat" w:hAnsi="Montserrat"/>
          <w:highlight w:val="yellow"/>
        </w:rPr>
      </w:pPr>
    </w:p>
    <w:p w14:paraId="6EF80221" w14:textId="77777777" w:rsidR="00FD20F4" w:rsidRPr="00FD20F4" w:rsidRDefault="00FD20F4" w:rsidP="00FD20F4">
      <w:pPr>
        <w:pStyle w:val="Prrafodelista"/>
        <w:rPr>
          <w:rFonts w:ascii="Montserrat" w:hAnsi="Montserrat"/>
          <w:highlight w:val="yellow"/>
        </w:rPr>
      </w:pPr>
    </w:p>
    <w:p w14:paraId="56289C10" w14:textId="77777777" w:rsidR="00FD20F4" w:rsidRPr="00FD20F4" w:rsidRDefault="00FD20F4" w:rsidP="00FD20F4">
      <w:pPr>
        <w:spacing w:after="0"/>
        <w:jc w:val="both"/>
        <w:rPr>
          <w:rFonts w:ascii="Montserrat" w:hAnsi="Montserrat"/>
          <w:highlight w:val="yellow"/>
        </w:rPr>
      </w:pPr>
    </w:p>
    <w:p w14:paraId="6962C728" w14:textId="77777777" w:rsidR="00F8567C" w:rsidRDefault="00F8567C" w:rsidP="00F8567C">
      <w:pPr>
        <w:pStyle w:val="Prrafodelista"/>
        <w:spacing w:after="0"/>
        <w:jc w:val="both"/>
        <w:rPr>
          <w:rFonts w:ascii="Montserrat" w:hAnsi="Montserrat"/>
        </w:rPr>
      </w:pPr>
    </w:p>
    <w:p w14:paraId="450A81FE" w14:textId="77777777" w:rsidR="00531332" w:rsidRPr="00531332" w:rsidRDefault="00531332" w:rsidP="00F8567C">
      <w:pPr>
        <w:pStyle w:val="Prrafodelista"/>
        <w:spacing w:after="0"/>
        <w:rPr>
          <w:rFonts w:ascii="Montserrat" w:hAnsi="Montserrat"/>
        </w:rPr>
      </w:pPr>
    </w:p>
    <w:p w14:paraId="340BD581" w14:textId="77777777" w:rsidR="00531332" w:rsidRPr="00294CD7" w:rsidRDefault="00531332" w:rsidP="00F8567C">
      <w:pPr>
        <w:pStyle w:val="Prrafodelista"/>
        <w:spacing w:after="0"/>
        <w:jc w:val="both"/>
        <w:rPr>
          <w:rFonts w:ascii="Montserrat" w:hAnsi="Montserrat"/>
        </w:rPr>
      </w:pPr>
    </w:p>
    <w:p w14:paraId="4FF30C20" w14:textId="1E9D4A38" w:rsidR="00E94EF3" w:rsidRPr="00F35396" w:rsidRDefault="00F35396" w:rsidP="00F8567C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   </w:t>
      </w:r>
    </w:p>
    <w:p w14:paraId="1C086977" w14:textId="77777777" w:rsidR="0040139D" w:rsidRPr="00D65736" w:rsidRDefault="0040139D" w:rsidP="0040139D">
      <w:pPr>
        <w:jc w:val="both"/>
        <w:rPr>
          <w:rFonts w:ascii="Montserrat" w:hAnsi="Montserrat"/>
        </w:rPr>
      </w:pPr>
    </w:p>
    <w:sectPr w:rsidR="0040139D" w:rsidRPr="00D65736">
      <w:headerReference w:type="default" r:id="rId8"/>
      <w:pgSz w:w="12240" w:h="15840"/>
      <w:pgMar w:top="2189" w:right="1701" w:bottom="1417" w:left="1701" w:header="2211" w:footer="16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6D0B8" w14:textId="77777777" w:rsidR="003B7DE7" w:rsidRDefault="003B7DE7">
      <w:pPr>
        <w:spacing w:after="0" w:line="240" w:lineRule="auto"/>
      </w:pPr>
      <w:r>
        <w:separator/>
      </w:r>
    </w:p>
  </w:endnote>
  <w:endnote w:type="continuationSeparator" w:id="0">
    <w:p w14:paraId="5FC270BD" w14:textId="77777777" w:rsidR="003B7DE7" w:rsidRDefault="003B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6F197" w14:textId="77777777" w:rsidR="003B7DE7" w:rsidRDefault="003B7DE7">
      <w:pPr>
        <w:spacing w:after="0" w:line="240" w:lineRule="auto"/>
      </w:pPr>
      <w:r>
        <w:separator/>
      </w:r>
    </w:p>
  </w:footnote>
  <w:footnote w:type="continuationSeparator" w:id="0">
    <w:p w14:paraId="759BF5AD" w14:textId="77777777" w:rsidR="003B7DE7" w:rsidRDefault="003B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A58B" w14:textId="7CB511E8" w:rsidR="00590D06" w:rsidRDefault="00D337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497CDF33" wp14:editId="4C48B5AF">
          <wp:simplePos x="0" y="0"/>
          <wp:positionH relativeFrom="page">
            <wp:align>left</wp:align>
          </wp:positionH>
          <wp:positionV relativeFrom="paragraph">
            <wp:posOffset>-1423035</wp:posOffset>
          </wp:positionV>
          <wp:extent cx="7751445" cy="10034270"/>
          <wp:effectExtent l="0" t="0" r="1905" b="508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1445" cy="10034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970EE"/>
    <w:multiLevelType w:val="hybridMultilevel"/>
    <w:tmpl w:val="ACC48AEC"/>
    <w:lvl w:ilvl="0" w:tplc="2862B7E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46580"/>
    <w:multiLevelType w:val="multilevel"/>
    <w:tmpl w:val="6C86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972773">
    <w:abstractNumId w:val="0"/>
  </w:num>
  <w:num w:numId="2" w16cid:durableId="1194735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6"/>
    <w:rsid w:val="000153D3"/>
    <w:rsid w:val="00020E34"/>
    <w:rsid w:val="000A2042"/>
    <w:rsid w:val="000B43F6"/>
    <w:rsid w:val="001071D5"/>
    <w:rsid w:val="001B6743"/>
    <w:rsid w:val="001E2700"/>
    <w:rsid w:val="002506CE"/>
    <w:rsid w:val="002913FA"/>
    <w:rsid w:val="00294CD7"/>
    <w:rsid w:val="002F4A8B"/>
    <w:rsid w:val="00336842"/>
    <w:rsid w:val="003B7DE7"/>
    <w:rsid w:val="0040139D"/>
    <w:rsid w:val="004961C0"/>
    <w:rsid w:val="004A2283"/>
    <w:rsid w:val="005143B6"/>
    <w:rsid w:val="005158ED"/>
    <w:rsid w:val="00531332"/>
    <w:rsid w:val="005464EA"/>
    <w:rsid w:val="00590D06"/>
    <w:rsid w:val="00604648"/>
    <w:rsid w:val="0069706D"/>
    <w:rsid w:val="00711B64"/>
    <w:rsid w:val="00771B9A"/>
    <w:rsid w:val="007F5B63"/>
    <w:rsid w:val="00836F59"/>
    <w:rsid w:val="008612D5"/>
    <w:rsid w:val="00862920"/>
    <w:rsid w:val="00904303"/>
    <w:rsid w:val="009A40C5"/>
    <w:rsid w:val="009D548B"/>
    <w:rsid w:val="00AF0822"/>
    <w:rsid w:val="00AF4A5E"/>
    <w:rsid w:val="00B0420C"/>
    <w:rsid w:val="00B10D4A"/>
    <w:rsid w:val="00B64208"/>
    <w:rsid w:val="00BD341E"/>
    <w:rsid w:val="00C746B0"/>
    <w:rsid w:val="00CE2066"/>
    <w:rsid w:val="00D337C0"/>
    <w:rsid w:val="00D65736"/>
    <w:rsid w:val="00D66817"/>
    <w:rsid w:val="00D873A0"/>
    <w:rsid w:val="00E94EF3"/>
    <w:rsid w:val="00ED4136"/>
    <w:rsid w:val="00EF6923"/>
    <w:rsid w:val="00F35396"/>
    <w:rsid w:val="00F36AAC"/>
    <w:rsid w:val="00F8567C"/>
    <w:rsid w:val="00FD20F4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73ECC1"/>
  <w15:docId w15:val="{C8D93DBF-BCFE-4CD3-B10A-BB30396A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D65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9A40C5"/>
    <w:rPr>
      <w:b/>
      <w:bCs/>
      <w:smallCaps/>
      <w:color w:val="4472C4" w:themeColor="accent1"/>
      <w:spacing w:val="5"/>
    </w:rPr>
  </w:style>
  <w:style w:type="character" w:styleId="Refdecomentario">
    <w:name w:val="annotation reference"/>
    <w:basedOn w:val="Fuentedeprrafopredeter"/>
    <w:uiPriority w:val="99"/>
    <w:semiHidden/>
    <w:unhideWhenUsed/>
    <w:rsid w:val="00FF58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F58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F58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58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58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09CuUlEWlib2mHIx2Uh2AkJ69w==">AMUW2mV36xE2zASwGkzgY5t9dkZSeN17kQgo4DnYohpx8Wi1NgZZT4K3zRipjBlZuBu8oahKjT2PNOsGbbfFBWY380s3jEuF+7q0sqcmsEFqAPMMJn1jBn0=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Cerna</dc:creator>
  <cp:lastModifiedBy>Nanci karina Luc</cp:lastModifiedBy>
  <cp:revision>2</cp:revision>
  <cp:lastPrinted>2022-03-30T16:09:00Z</cp:lastPrinted>
  <dcterms:created xsi:type="dcterms:W3CDTF">2023-03-29T16:26:00Z</dcterms:created>
  <dcterms:modified xsi:type="dcterms:W3CDTF">2023-03-29T16:26:00Z</dcterms:modified>
</cp:coreProperties>
</file>