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jc w:val="center"/>
        <w:tblCellMar>
          <w:top w:w="15" w:type="dxa"/>
          <w:left w:w="15" w:type="dxa"/>
          <w:bottom w:w="15" w:type="dxa"/>
          <w:right w:w="15" w:type="dxa"/>
        </w:tblCellMar>
        <w:tblLook w:val="04A0" w:firstRow="1" w:lastRow="0" w:firstColumn="1" w:lastColumn="0" w:noHBand="0" w:noVBand="1"/>
      </w:tblPr>
      <w:tblGrid>
        <w:gridCol w:w="229"/>
        <w:gridCol w:w="5063"/>
        <w:gridCol w:w="825"/>
        <w:gridCol w:w="2814"/>
      </w:tblGrid>
      <w:tr w:rsidR="00F5563A" w:rsidRPr="00F5563A" w14:paraId="45B78025" w14:textId="77777777" w:rsidTr="00F47DF8">
        <w:trPr>
          <w:gridBefore w:val="1"/>
          <w:wBefore w:w="229" w:type="dxa"/>
          <w:trHeight w:val="309"/>
          <w:jc w:val="center"/>
        </w:trPr>
        <w:tc>
          <w:tcPr>
            <w:tcW w:w="8702" w:type="dxa"/>
            <w:gridSpan w:val="3"/>
            <w:tcMar>
              <w:top w:w="0" w:type="dxa"/>
              <w:left w:w="70" w:type="dxa"/>
              <w:bottom w:w="0" w:type="dxa"/>
              <w:right w:w="70" w:type="dxa"/>
            </w:tcMar>
            <w:vAlign w:val="center"/>
            <w:hideMark/>
          </w:tcPr>
          <w:p w14:paraId="2C6F525D" w14:textId="364DE98A" w:rsidR="00F5563A" w:rsidRPr="00F5563A" w:rsidRDefault="00F5563A" w:rsidP="00F5563A">
            <w:pPr>
              <w:spacing w:after="0" w:line="240" w:lineRule="auto"/>
              <w:jc w:val="center"/>
              <w:rPr>
                <w:rFonts w:ascii="Times New Roman" w:eastAsia="Times New Roman" w:hAnsi="Times New Roman"/>
                <w:sz w:val="36"/>
                <w:szCs w:val="36"/>
                <w:lang w:eastAsia="es-GT"/>
              </w:rPr>
            </w:pPr>
            <w:r w:rsidRPr="00F5563A">
              <w:rPr>
                <w:rFonts w:ascii="Monserrat" w:eastAsia="Times New Roman" w:hAnsi="Monserrat"/>
                <w:b/>
                <w:bCs/>
                <w:color w:val="1F4E79"/>
                <w:sz w:val="30"/>
                <w:szCs w:val="36"/>
                <w:lang w:eastAsia="es-GT"/>
              </w:rPr>
              <w:t xml:space="preserve">Período:  </w:t>
            </w:r>
            <w:proofErr w:type="gramStart"/>
            <w:r w:rsidR="00C80012">
              <w:rPr>
                <w:rFonts w:ascii="Monserrat" w:eastAsia="Times New Roman" w:hAnsi="Monserrat"/>
                <w:b/>
                <w:bCs/>
                <w:color w:val="1F4E79"/>
                <w:sz w:val="30"/>
                <w:szCs w:val="36"/>
                <w:lang w:eastAsia="es-GT"/>
              </w:rPr>
              <w:t>Septiembre</w:t>
            </w:r>
            <w:proofErr w:type="gramEnd"/>
            <w:r w:rsidR="00E62EC5">
              <w:rPr>
                <w:rFonts w:ascii="Monserrat" w:eastAsia="Times New Roman" w:hAnsi="Monserrat"/>
                <w:b/>
                <w:bCs/>
                <w:color w:val="1F4E79"/>
                <w:sz w:val="30"/>
                <w:szCs w:val="36"/>
                <w:lang w:eastAsia="es-GT"/>
              </w:rPr>
              <w:t xml:space="preserve"> </w:t>
            </w:r>
            <w:r w:rsidRPr="00F5563A">
              <w:rPr>
                <w:rFonts w:ascii="Monserrat" w:eastAsia="Times New Roman" w:hAnsi="Monserrat"/>
                <w:b/>
                <w:bCs/>
                <w:color w:val="1F4E79"/>
                <w:sz w:val="30"/>
                <w:szCs w:val="36"/>
                <w:lang w:eastAsia="es-GT"/>
              </w:rPr>
              <w:t>de 202</w:t>
            </w:r>
            <w:r>
              <w:rPr>
                <w:rFonts w:ascii="Monserrat" w:eastAsia="Times New Roman" w:hAnsi="Monserrat"/>
                <w:b/>
                <w:bCs/>
                <w:color w:val="1F4E79"/>
                <w:sz w:val="30"/>
                <w:szCs w:val="36"/>
                <w:lang w:eastAsia="es-GT"/>
              </w:rPr>
              <w:t>3</w:t>
            </w:r>
          </w:p>
        </w:tc>
      </w:tr>
      <w:tr w:rsidR="00F5563A" w:rsidRPr="00F5563A" w14:paraId="7176A901" w14:textId="77777777" w:rsidTr="00F47DF8">
        <w:trPr>
          <w:gridBefore w:val="1"/>
          <w:wBefore w:w="229" w:type="dxa"/>
          <w:trHeight w:val="309"/>
          <w:jc w:val="center"/>
        </w:trPr>
        <w:tc>
          <w:tcPr>
            <w:tcW w:w="8702" w:type="dxa"/>
            <w:gridSpan w:val="3"/>
            <w:tcMar>
              <w:top w:w="0" w:type="dxa"/>
              <w:left w:w="70" w:type="dxa"/>
              <w:bottom w:w="0" w:type="dxa"/>
              <w:right w:w="70" w:type="dxa"/>
            </w:tcMar>
            <w:vAlign w:val="center"/>
            <w:hideMark/>
          </w:tcPr>
          <w:p w14:paraId="28E417A7" w14:textId="3ABDEEF1" w:rsidR="00871B98" w:rsidRDefault="00F5563A" w:rsidP="00F5563A">
            <w:pPr>
              <w:spacing w:after="0" w:line="240" w:lineRule="auto"/>
              <w:jc w:val="center"/>
              <w:rPr>
                <w:rFonts w:ascii="Monserrat" w:eastAsia="Times New Roman" w:hAnsi="Monserrat"/>
                <w:b/>
                <w:bCs/>
                <w:color w:val="1F4E79"/>
                <w:sz w:val="30"/>
                <w:szCs w:val="36"/>
                <w:lang w:eastAsia="es-GT"/>
              </w:rPr>
            </w:pPr>
            <w:r w:rsidRPr="00F5563A">
              <w:rPr>
                <w:rFonts w:ascii="Monserrat" w:eastAsia="Times New Roman" w:hAnsi="Monserrat"/>
                <w:b/>
                <w:bCs/>
                <w:color w:val="1F4E79"/>
                <w:sz w:val="30"/>
                <w:szCs w:val="36"/>
                <w:lang w:eastAsia="es-GT"/>
              </w:rPr>
              <w:t>Información Pública de oficio</w:t>
            </w:r>
          </w:p>
          <w:p w14:paraId="2BBBD46C" w14:textId="2F840F48" w:rsidR="00F5563A" w:rsidRPr="00F5563A" w:rsidRDefault="00871B98" w:rsidP="00F5563A">
            <w:pPr>
              <w:spacing w:after="0" w:line="240" w:lineRule="auto"/>
              <w:jc w:val="center"/>
              <w:rPr>
                <w:rFonts w:ascii="Times New Roman" w:eastAsia="Times New Roman" w:hAnsi="Times New Roman"/>
                <w:sz w:val="36"/>
                <w:szCs w:val="36"/>
                <w:lang w:eastAsia="es-GT"/>
              </w:rPr>
            </w:pPr>
            <w:r>
              <w:rPr>
                <w:rFonts w:ascii="Monserrat" w:eastAsia="Times New Roman" w:hAnsi="Monserrat"/>
                <w:b/>
                <w:bCs/>
                <w:color w:val="1F4E79"/>
                <w:sz w:val="30"/>
                <w:szCs w:val="36"/>
                <w:lang w:eastAsia="es-GT"/>
              </w:rPr>
              <w:t>Decreto No. 54-2022</w:t>
            </w:r>
            <w:r w:rsidR="00F5563A" w:rsidRPr="00F5563A">
              <w:rPr>
                <w:rFonts w:ascii="Monserrat" w:eastAsia="Times New Roman" w:hAnsi="Monserrat"/>
                <w:b/>
                <w:bCs/>
                <w:color w:val="1F4E79"/>
                <w:sz w:val="30"/>
                <w:szCs w:val="36"/>
                <w:lang w:eastAsia="es-GT"/>
              </w:rPr>
              <w:t>  </w:t>
            </w:r>
          </w:p>
          <w:p w14:paraId="3DAD7038" w14:textId="1A01B905" w:rsidR="00F5563A" w:rsidRDefault="00F5563A" w:rsidP="00F5563A">
            <w:pPr>
              <w:spacing w:after="0" w:line="240" w:lineRule="auto"/>
              <w:jc w:val="center"/>
              <w:rPr>
                <w:rFonts w:ascii="Monserrat" w:eastAsia="Times New Roman" w:hAnsi="Monserrat"/>
                <w:b/>
                <w:bCs/>
                <w:color w:val="1F4E79"/>
                <w:sz w:val="30"/>
                <w:szCs w:val="36"/>
                <w:lang w:eastAsia="es-GT"/>
              </w:rPr>
            </w:pPr>
            <w:r w:rsidRPr="00F5563A">
              <w:rPr>
                <w:rFonts w:ascii="Monserrat" w:eastAsia="Times New Roman" w:hAnsi="Monserrat"/>
                <w:b/>
                <w:bCs/>
                <w:color w:val="1F4E79"/>
                <w:sz w:val="30"/>
                <w:szCs w:val="36"/>
                <w:lang w:eastAsia="es-GT"/>
              </w:rPr>
              <w:t> (Artículo 3</w:t>
            </w:r>
            <w:r w:rsidR="00871B98">
              <w:rPr>
                <w:rFonts w:ascii="Monserrat" w:eastAsia="Times New Roman" w:hAnsi="Monserrat"/>
                <w:b/>
                <w:bCs/>
                <w:color w:val="1F4E79"/>
                <w:sz w:val="30"/>
                <w:szCs w:val="36"/>
                <w:lang w:eastAsia="es-GT"/>
              </w:rPr>
              <w:t>3 Numeral 2</w:t>
            </w:r>
            <w:r w:rsidRPr="00F5563A">
              <w:rPr>
                <w:rFonts w:ascii="Monserrat" w:eastAsia="Times New Roman" w:hAnsi="Monserrat"/>
                <w:b/>
                <w:bCs/>
                <w:color w:val="1F4E79"/>
                <w:sz w:val="30"/>
                <w:szCs w:val="36"/>
                <w:lang w:eastAsia="es-GT"/>
              </w:rPr>
              <w:t>.)</w:t>
            </w:r>
          </w:p>
          <w:p w14:paraId="3FFBAAA2" w14:textId="5EB632AB" w:rsidR="00016671" w:rsidRDefault="00016671" w:rsidP="00016671">
            <w:pPr>
              <w:spacing w:after="0" w:line="240" w:lineRule="auto"/>
              <w:ind w:left="498"/>
              <w:rPr>
                <w:rFonts w:ascii="Monserrat" w:eastAsia="Times New Roman" w:hAnsi="Monserrat"/>
                <w:b/>
                <w:color w:val="000000"/>
                <w:sz w:val="32"/>
                <w:szCs w:val="40"/>
                <w:lang w:eastAsia="es-GT"/>
              </w:rPr>
            </w:pPr>
          </w:p>
          <w:p w14:paraId="5FD109ED" w14:textId="7EDC0F6E" w:rsidR="00FA4C3C" w:rsidRPr="00F5563A" w:rsidRDefault="00016671" w:rsidP="00F47DF8">
            <w:pPr>
              <w:spacing w:after="0" w:line="240" w:lineRule="auto"/>
              <w:ind w:left="498"/>
              <w:rPr>
                <w:rFonts w:ascii="Times New Roman" w:eastAsia="Times New Roman" w:hAnsi="Times New Roman"/>
                <w:sz w:val="36"/>
                <w:szCs w:val="36"/>
                <w:lang w:eastAsia="es-GT"/>
              </w:rPr>
            </w:pPr>
            <w:r w:rsidRPr="00016671">
              <w:rPr>
                <w:rFonts w:ascii="Monserrat" w:eastAsia="Times New Roman" w:hAnsi="Monserrat"/>
                <w:b/>
                <w:color w:val="000000"/>
                <w:sz w:val="32"/>
                <w:szCs w:val="40"/>
                <w:lang w:eastAsia="es-GT"/>
              </w:rPr>
              <w:t>Artículo 33, Otras remuneraciones de personal temporal.</w:t>
            </w:r>
          </w:p>
        </w:tc>
      </w:tr>
      <w:tr w:rsidR="00871B98" w:rsidRPr="00F5563A" w14:paraId="54B66845" w14:textId="77777777" w:rsidTr="00F47DF8">
        <w:trPr>
          <w:gridBefore w:val="1"/>
          <w:wBefore w:w="229" w:type="dxa"/>
          <w:trHeight w:val="309"/>
          <w:jc w:val="center"/>
        </w:trPr>
        <w:tc>
          <w:tcPr>
            <w:tcW w:w="8702" w:type="dxa"/>
            <w:gridSpan w:val="3"/>
            <w:tcMar>
              <w:top w:w="0" w:type="dxa"/>
              <w:left w:w="70" w:type="dxa"/>
              <w:bottom w:w="0" w:type="dxa"/>
              <w:right w:w="70" w:type="dxa"/>
            </w:tcMar>
            <w:vAlign w:val="center"/>
          </w:tcPr>
          <w:p w14:paraId="137A4504" w14:textId="3A9FC668" w:rsidR="00871B98" w:rsidRPr="00F5563A" w:rsidRDefault="00871B98" w:rsidP="00F5563A">
            <w:pPr>
              <w:spacing w:after="0" w:line="240" w:lineRule="auto"/>
              <w:jc w:val="center"/>
              <w:rPr>
                <w:rFonts w:ascii="Monserrat" w:eastAsia="Times New Roman" w:hAnsi="Monserrat"/>
                <w:b/>
                <w:bCs/>
                <w:color w:val="1F4E79"/>
                <w:sz w:val="30"/>
                <w:szCs w:val="36"/>
                <w:lang w:eastAsia="es-GT"/>
              </w:rPr>
            </w:pPr>
          </w:p>
        </w:tc>
      </w:tr>
      <w:tr w:rsidR="00C80012" w:rsidRPr="00F5563A" w14:paraId="015D875A" w14:textId="77777777" w:rsidTr="00F47DF8">
        <w:tblPrEx>
          <w:jc w:val="left"/>
        </w:tblPrEx>
        <w:trPr>
          <w:trHeight w:val="334"/>
        </w:trPr>
        <w:tc>
          <w:tcPr>
            <w:tcW w:w="5292"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448E0A" w14:textId="77777777" w:rsidR="00C80012" w:rsidRPr="00F5563A" w:rsidRDefault="00C80012" w:rsidP="00BC2A72">
            <w:pPr>
              <w:spacing w:after="0" w:line="240" w:lineRule="auto"/>
              <w:jc w:val="center"/>
              <w:rPr>
                <w:rFonts w:ascii="Times New Roman" w:eastAsia="Times New Roman" w:hAnsi="Times New Roman"/>
                <w:sz w:val="24"/>
                <w:szCs w:val="24"/>
                <w:lang w:eastAsia="es-GT"/>
              </w:rPr>
            </w:pPr>
            <w:r w:rsidRPr="00F5563A">
              <w:rPr>
                <w:rFonts w:ascii="Monserrat" w:eastAsia="Times New Roman" w:hAnsi="Monserrat"/>
                <w:b/>
                <w:bCs/>
                <w:color w:val="000000"/>
                <w:sz w:val="24"/>
                <w:szCs w:val="24"/>
                <w:lang w:eastAsia="es-GT"/>
              </w:rPr>
              <w:t>DESCRIPCIÓN</w:t>
            </w:r>
          </w:p>
        </w:tc>
        <w:tc>
          <w:tcPr>
            <w:tcW w:w="3639"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5C09DC83" w14:textId="77777777" w:rsidR="00C80012" w:rsidRPr="00F5563A" w:rsidRDefault="00C80012" w:rsidP="00BC2A72">
            <w:pPr>
              <w:spacing w:after="0" w:line="240" w:lineRule="auto"/>
              <w:jc w:val="center"/>
              <w:rPr>
                <w:rFonts w:ascii="Times New Roman" w:eastAsia="Times New Roman" w:hAnsi="Times New Roman"/>
                <w:sz w:val="24"/>
                <w:szCs w:val="24"/>
                <w:lang w:eastAsia="es-GT"/>
              </w:rPr>
            </w:pPr>
            <w:r w:rsidRPr="00F5563A">
              <w:rPr>
                <w:rFonts w:ascii="Monserrat" w:eastAsia="Times New Roman" w:hAnsi="Monserrat"/>
                <w:b/>
                <w:bCs/>
                <w:color w:val="000000"/>
                <w:sz w:val="24"/>
                <w:szCs w:val="24"/>
                <w:lang w:eastAsia="es-GT"/>
              </w:rPr>
              <w:t>OBSERVACIONES</w:t>
            </w:r>
          </w:p>
        </w:tc>
      </w:tr>
      <w:tr w:rsidR="00C80012" w:rsidRPr="00F5563A" w14:paraId="01AFBFDB" w14:textId="77777777" w:rsidTr="00F47DF8">
        <w:tblPrEx>
          <w:jc w:val="left"/>
        </w:tblPrEx>
        <w:trPr>
          <w:trHeight w:val="3774"/>
        </w:trPr>
        <w:tc>
          <w:tcPr>
            <w:tcW w:w="6117"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27A4BA79" w14:textId="77777777" w:rsidR="00833E62" w:rsidRPr="00833E62" w:rsidRDefault="00833E62" w:rsidP="00BC2A72">
            <w:pPr>
              <w:spacing w:after="0" w:line="240" w:lineRule="auto"/>
              <w:jc w:val="both"/>
              <w:rPr>
                <w:rFonts w:ascii="Monserrat" w:eastAsia="Times New Roman" w:hAnsi="Monserrat"/>
                <w:b/>
                <w:color w:val="000000"/>
                <w:lang w:eastAsia="es-GT"/>
              </w:rPr>
            </w:pPr>
            <w:r w:rsidRPr="00833E62">
              <w:rPr>
                <w:rFonts w:ascii="Monserrat" w:eastAsia="Times New Roman" w:hAnsi="Monserrat"/>
                <w:b/>
                <w:color w:val="000000"/>
                <w:lang w:eastAsia="es-GT"/>
              </w:rPr>
              <w:t>Artículo 33, Otras remuneraciones de personal temporal.</w:t>
            </w:r>
          </w:p>
          <w:p w14:paraId="2FC52DAA" w14:textId="3AF36CE1" w:rsidR="00C80012" w:rsidRPr="00F47DF8" w:rsidRDefault="00C80012" w:rsidP="00BC2A72">
            <w:pPr>
              <w:spacing w:after="0" w:line="240" w:lineRule="auto"/>
              <w:jc w:val="both"/>
              <w:rPr>
                <w:rFonts w:ascii="Monserrat" w:eastAsia="Times New Roman" w:hAnsi="Monserrat"/>
                <w:bCs/>
                <w:color w:val="000000"/>
                <w:lang w:eastAsia="es-GT"/>
              </w:rPr>
            </w:pPr>
            <w:r w:rsidRPr="00F47DF8">
              <w:rPr>
                <w:rFonts w:ascii="Monserrat" w:eastAsia="Times New Roman" w:hAnsi="Monserrat"/>
                <w:bCs/>
                <w:color w:val="000000"/>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3A75B2BE" w14:textId="77777777" w:rsidR="00C80012" w:rsidRPr="00F47DF8" w:rsidRDefault="00C80012" w:rsidP="00BC2A72">
            <w:pPr>
              <w:spacing w:after="0" w:line="240" w:lineRule="auto"/>
              <w:jc w:val="both"/>
              <w:rPr>
                <w:rFonts w:ascii="Monserrat" w:eastAsia="Times New Roman" w:hAnsi="Monserrat"/>
                <w:b/>
                <w:color w:val="000000"/>
                <w:sz w:val="20"/>
                <w:szCs w:val="20"/>
                <w:lang w:eastAsia="es-GT"/>
              </w:rPr>
            </w:pPr>
            <w:r w:rsidRPr="00F47DF8">
              <w:rPr>
                <w:rFonts w:ascii="Monserrat" w:eastAsia="Times New Roman" w:hAnsi="Monserrat"/>
                <w:b/>
                <w:color w:val="000000"/>
                <w:sz w:val="20"/>
                <w:szCs w:val="20"/>
                <w:lang w:eastAsia="es-GT"/>
              </w:rPr>
              <w:t>Numeral 2</w:t>
            </w:r>
          </w:p>
          <w:p w14:paraId="325AF10A" w14:textId="5B48EFC3" w:rsidR="00C80012" w:rsidRPr="00F47DF8" w:rsidRDefault="00C80012" w:rsidP="00BC2A72">
            <w:pPr>
              <w:spacing w:after="0" w:line="240" w:lineRule="auto"/>
              <w:jc w:val="both"/>
              <w:rPr>
                <w:rFonts w:ascii="Times New Roman" w:eastAsia="Times New Roman" w:hAnsi="Times New Roman"/>
                <w:lang w:eastAsia="es-GT"/>
              </w:rPr>
            </w:pPr>
            <w:r w:rsidRPr="00F47DF8">
              <w:rPr>
                <w:rFonts w:ascii="Times New Roman" w:eastAsia="Times New Roman" w:hAnsi="Times New Roman"/>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w:t>
            </w:r>
            <w:r w:rsidR="00F47DF8">
              <w:rPr>
                <w:rFonts w:ascii="Times New Roman" w:eastAsia="Times New Roman" w:hAnsi="Times New Roman"/>
                <w:lang w:eastAsia="es-GT"/>
              </w:rPr>
              <w:t>reinta</w:t>
            </w:r>
            <w:r w:rsidRPr="00F47DF8">
              <w:rPr>
                <w:rFonts w:ascii="Times New Roman" w:eastAsia="Times New Roman" w:hAnsi="Times New Roman"/>
                <w:lang w:eastAsia="es-GT"/>
              </w:rPr>
              <w:t xml:space="preserve"> Mil </w:t>
            </w:r>
            <w:r w:rsidR="00F47DF8" w:rsidRPr="00F47DF8">
              <w:rPr>
                <w:rFonts w:ascii="Times New Roman" w:eastAsia="Times New Roman" w:hAnsi="Times New Roman"/>
                <w:lang w:eastAsia="es-GT"/>
              </w:rPr>
              <w:t>Q</w:t>
            </w:r>
            <w:r w:rsidR="00F47DF8">
              <w:rPr>
                <w:rFonts w:ascii="Times New Roman" w:eastAsia="Times New Roman" w:hAnsi="Times New Roman"/>
                <w:lang w:eastAsia="es-GT"/>
              </w:rPr>
              <w:t>uetzales</w:t>
            </w:r>
            <w:r w:rsidRPr="00F47DF8">
              <w:rPr>
                <w:rFonts w:ascii="Times New Roman" w:eastAsia="Times New Roman" w:hAnsi="Times New Roman"/>
                <w:lang w:eastAsia="es-GT"/>
              </w:rPr>
              <w:t xml:space="preserve">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F47DF8">
              <w:rPr>
                <w:rFonts w:ascii="Times New Roman" w:eastAsia="Times New Roman" w:hAnsi="Times New Roman"/>
                <w:lang w:eastAsia="es-GT"/>
              </w:rPr>
              <w:t>Guatenóminas</w:t>
            </w:r>
            <w:proofErr w:type="spellEnd"/>
            <w:r w:rsidRPr="00F47DF8">
              <w:rPr>
                <w:rFonts w:ascii="Times New Roman" w:eastAsia="Times New Roman" w:hAnsi="Times New Roman"/>
                <w:lang w:eastAsia="es-GT"/>
              </w:rPr>
              <w:t>). La entidad contratante tiene la potestad de dejar sin efecto dicho contralo en cualquier momento, sin que ello implique responsabilidad de su parte, no pudiendo los servicios a contralar exceder del ejercicio fiscal vigente.</w:t>
            </w:r>
          </w:p>
          <w:p w14:paraId="65DDD337" w14:textId="77777777" w:rsidR="00C80012" w:rsidRPr="00F5563A" w:rsidRDefault="00C80012" w:rsidP="00BC2A72">
            <w:pPr>
              <w:spacing w:after="0" w:line="240" w:lineRule="auto"/>
              <w:jc w:val="both"/>
              <w:rPr>
                <w:rFonts w:ascii="Times New Roman" w:eastAsia="Times New Roman" w:hAnsi="Times New Roman"/>
                <w:sz w:val="24"/>
                <w:szCs w:val="24"/>
                <w:lang w:eastAsia="es-GT"/>
              </w:rPr>
            </w:pPr>
          </w:p>
        </w:tc>
        <w:tc>
          <w:tcPr>
            <w:tcW w:w="2814"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22D229B8" w14:textId="77777777" w:rsidR="00F47DF8" w:rsidRDefault="00C80012" w:rsidP="00BC2A72">
            <w:pPr>
              <w:spacing w:after="0" w:line="240" w:lineRule="auto"/>
              <w:jc w:val="both"/>
              <w:rPr>
                <w:rFonts w:ascii="Monserrat" w:eastAsia="Times New Roman" w:hAnsi="Monserrat"/>
                <w:color w:val="000000"/>
                <w:sz w:val="24"/>
                <w:szCs w:val="24"/>
                <w:lang w:eastAsia="es-GT"/>
              </w:rPr>
            </w:pPr>
            <w:r w:rsidRPr="00F5563A">
              <w:rPr>
                <w:rFonts w:ascii="Monserrat" w:eastAsia="Times New Roman" w:hAnsi="Monserrat"/>
                <w:color w:val="000000"/>
                <w:sz w:val="24"/>
                <w:szCs w:val="24"/>
                <w:lang w:eastAsia="es-GT"/>
              </w:rPr>
              <w:t xml:space="preserve">La Comisión Presidencial por la Paz y los Derechos Humanos, –COPADEH-, no refleja información, en virtud que no se han realizado contrataciones 029. </w:t>
            </w:r>
          </w:p>
          <w:p w14:paraId="40CC88FA" w14:textId="77777777" w:rsidR="00C80012" w:rsidRPr="00F5563A" w:rsidRDefault="00C80012" w:rsidP="00BC2A72">
            <w:pPr>
              <w:spacing w:after="0" w:line="240" w:lineRule="auto"/>
              <w:jc w:val="both"/>
              <w:rPr>
                <w:rFonts w:ascii="Times New Roman" w:eastAsia="Times New Roman" w:hAnsi="Times New Roman"/>
                <w:sz w:val="24"/>
                <w:szCs w:val="24"/>
                <w:lang w:eastAsia="es-GT"/>
              </w:rPr>
            </w:pPr>
            <w:r w:rsidRPr="00F5563A">
              <w:rPr>
                <w:rFonts w:ascii="Monserrat" w:eastAsia="Times New Roman" w:hAnsi="Monserrat"/>
                <w:color w:val="000000"/>
                <w:sz w:val="24"/>
                <w:szCs w:val="24"/>
                <w:lang w:eastAsia="es-GT"/>
              </w:rPr>
              <w:t>Por lo tanto, No hay información que presentar.</w:t>
            </w:r>
          </w:p>
        </w:tc>
      </w:tr>
    </w:tbl>
    <w:p w14:paraId="162B4166" w14:textId="7B4BE989" w:rsidR="00016671" w:rsidRDefault="00C12865" w:rsidP="00F47DF8">
      <w:pPr>
        <w:spacing w:after="200" w:line="276" w:lineRule="auto"/>
        <w:jc w:val="center"/>
        <w:rPr>
          <w:rFonts w:ascii="Tahoma" w:eastAsiaTheme="minorHAnsi" w:hAnsi="Tahoma" w:cs="Tahoma"/>
          <w:noProof/>
          <w:sz w:val="20"/>
          <w:szCs w:val="20"/>
          <w:lang w:eastAsia="es-GT"/>
        </w:rPr>
      </w:pPr>
      <w:r>
        <w:rPr>
          <w:noProof/>
        </w:rPr>
        <w:drawing>
          <wp:anchor distT="0" distB="0" distL="114300" distR="114300" simplePos="0" relativeHeight="251659264" behindDoc="0" locked="0" layoutInCell="1" allowOverlap="1" wp14:anchorId="3C320634" wp14:editId="679489AB">
            <wp:simplePos x="0" y="0"/>
            <wp:positionH relativeFrom="column">
              <wp:posOffset>3587115</wp:posOffset>
            </wp:positionH>
            <wp:positionV relativeFrom="paragraph">
              <wp:posOffset>105410</wp:posOffset>
            </wp:positionV>
            <wp:extent cx="2195830" cy="11633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830" cy="1163320"/>
                    </a:xfrm>
                    <a:prstGeom prst="rect">
                      <a:avLst/>
                    </a:prstGeom>
                    <a:noFill/>
                  </pic:spPr>
                </pic:pic>
              </a:graphicData>
            </a:graphic>
            <wp14:sizeRelH relativeFrom="margin">
              <wp14:pctWidth>0</wp14:pctWidth>
            </wp14:sizeRelH>
            <wp14:sizeRelV relativeFrom="margin">
              <wp14:pctHeight>0</wp14:pctHeight>
            </wp14:sizeRelV>
          </wp:anchor>
        </w:drawing>
      </w:r>
      <w:r w:rsidR="00016671">
        <w:rPr>
          <w:noProof/>
        </w:rPr>
        <w:drawing>
          <wp:anchor distT="0" distB="0" distL="114300" distR="114300" simplePos="0" relativeHeight="251658240" behindDoc="0" locked="0" layoutInCell="1" allowOverlap="1" wp14:anchorId="51C16D4D" wp14:editId="142D9778">
            <wp:simplePos x="0" y="0"/>
            <wp:positionH relativeFrom="margin">
              <wp:align>left</wp:align>
            </wp:positionH>
            <wp:positionV relativeFrom="paragraph">
              <wp:posOffset>163013</wp:posOffset>
            </wp:positionV>
            <wp:extent cx="1854835" cy="10566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029" cy="1058314"/>
                    </a:xfrm>
                    <a:prstGeom prst="rect">
                      <a:avLst/>
                    </a:prstGeom>
                    <a:noFill/>
                  </pic:spPr>
                </pic:pic>
              </a:graphicData>
            </a:graphic>
            <wp14:sizeRelH relativeFrom="margin">
              <wp14:pctWidth>0</wp14:pctWidth>
            </wp14:sizeRelH>
            <wp14:sizeRelV relativeFrom="margin">
              <wp14:pctHeight>0</wp14:pctHeight>
            </wp14:sizeRelV>
          </wp:anchor>
        </w:drawing>
      </w:r>
    </w:p>
    <w:p w14:paraId="65AB7D81" w14:textId="1C4BAA3D" w:rsidR="00D32C5E" w:rsidRPr="009F08AD" w:rsidRDefault="00D32C5E" w:rsidP="00016671">
      <w:pPr>
        <w:spacing w:after="0" w:line="240" w:lineRule="auto"/>
        <w:ind w:left="4248"/>
        <w:rPr>
          <w:rFonts w:ascii="Tahoma" w:eastAsiaTheme="minorHAnsi" w:hAnsi="Tahoma" w:cs="Tahoma"/>
          <w:noProof/>
          <w:sz w:val="20"/>
          <w:szCs w:val="20"/>
          <w:lang w:eastAsia="es-GT"/>
        </w:rPr>
      </w:pPr>
      <w:r w:rsidRPr="009F08AD">
        <w:rPr>
          <w:rFonts w:ascii="Tahoma" w:eastAsiaTheme="minorHAnsi" w:hAnsi="Tahoma" w:cs="Tahoma"/>
          <w:noProof/>
          <w:sz w:val="20"/>
          <w:szCs w:val="20"/>
          <w:lang w:eastAsia="es-GT"/>
        </w:rPr>
        <w:t>Vo.Bo</w:t>
      </w:r>
      <w:r>
        <w:rPr>
          <w:rFonts w:ascii="Tahoma" w:eastAsiaTheme="minorHAnsi" w:hAnsi="Tahoma" w:cs="Tahoma"/>
          <w:noProof/>
          <w:sz w:val="20"/>
          <w:szCs w:val="20"/>
          <w:lang w:eastAsia="es-GT"/>
        </w:rPr>
        <w:t>.</w:t>
      </w:r>
    </w:p>
    <w:p w14:paraId="2F336F15" w14:textId="5C39D29F" w:rsidR="00A05B86" w:rsidRPr="00F5563A" w:rsidRDefault="00A05B86" w:rsidP="00F5563A"/>
    <w:sectPr w:rsidR="00A05B86" w:rsidRPr="00F5563A" w:rsidSect="00016671">
      <w:headerReference w:type="default" r:id="rId9"/>
      <w:footerReference w:type="default" r:id="rId10"/>
      <w:pgSz w:w="12240" w:h="15840"/>
      <w:pgMar w:top="1701" w:right="1135"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0085" w14:textId="77777777" w:rsidR="00CC4796" w:rsidRDefault="00CC4796" w:rsidP="00A05B86">
      <w:pPr>
        <w:spacing w:after="0" w:line="240" w:lineRule="auto"/>
      </w:pPr>
      <w:r>
        <w:separator/>
      </w:r>
    </w:p>
  </w:endnote>
  <w:endnote w:type="continuationSeparator" w:id="0">
    <w:p w14:paraId="6692E7FF" w14:textId="77777777" w:rsidR="00CC4796" w:rsidRDefault="00CC4796"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A3C" w14:textId="306D98D9" w:rsidR="0075185E" w:rsidRDefault="00F5563A">
    <w:pPr>
      <w:pStyle w:val="Piedepgina"/>
    </w:pPr>
    <w:r>
      <w:rPr>
        <w:noProof/>
      </w:rPr>
      <w:drawing>
        <wp:anchor distT="0" distB="0" distL="114300" distR="114300" simplePos="0" relativeHeight="251658240" behindDoc="1" locked="0" layoutInCell="1" allowOverlap="1" wp14:anchorId="5AF66963" wp14:editId="6B016ADD">
          <wp:simplePos x="0" y="0"/>
          <wp:positionH relativeFrom="margin">
            <wp:posOffset>-1062355</wp:posOffset>
          </wp:positionH>
          <wp:positionV relativeFrom="paragraph">
            <wp:posOffset>-3933190</wp:posOffset>
          </wp:positionV>
          <wp:extent cx="7753350" cy="4659630"/>
          <wp:effectExtent l="0" t="0" r="0" b="0"/>
          <wp:wrapNone/>
          <wp:docPr id="1844761822" name="Imagen 184476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AEB1" w14:textId="77777777" w:rsidR="00CC4796" w:rsidRDefault="00CC4796" w:rsidP="00A05B86">
      <w:pPr>
        <w:spacing w:after="0" w:line="240" w:lineRule="auto"/>
      </w:pPr>
      <w:r>
        <w:separator/>
      </w:r>
    </w:p>
  </w:footnote>
  <w:footnote w:type="continuationSeparator" w:id="0">
    <w:p w14:paraId="5203799B" w14:textId="77777777" w:rsidR="00CC4796" w:rsidRDefault="00CC4796"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20F" w14:textId="348D83A4" w:rsidR="00A05B86" w:rsidRDefault="00F5563A">
    <w:pPr>
      <w:pStyle w:val="Encabezado"/>
    </w:pPr>
    <w:r>
      <w:rPr>
        <w:noProof/>
      </w:rPr>
      <w:drawing>
        <wp:anchor distT="0" distB="0" distL="114300" distR="114300" simplePos="0" relativeHeight="251657216" behindDoc="1" locked="0" layoutInCell="1" allowOverlap="1" wp14:anchorId="443FB458" wp14:editId="2ABD2051">
          <wp:simplePos x="0" y="0"/>
          <wp:positionH relativeFrom="page">
            <wp:posOffset>164465</wp:posOffset>
          </wp:positionH>
          <wp:positionV relativeFrom="paragraph">
            <wp:posOffset>-601980</wp:posOffset>
          </wp:positionV>
          <wp:extent cx="7337425" cy="1093470"/>
          <wp:effectExtent l="0" t="0" r="0" b="0"/>
          <wp:wrapNone/>
          <wp:docPr id="549879705" name="Imagen 549879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0FD"/>
    <w:multiLevelType w:val="hybridMultilevel"/>
    <w:tmpl w:val="E4C282FE"/>
    <w:lvl w:ilvl="0" w:tplc="10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115778"/>
    <w:multiLevelType w:val="hybridMultilevel"/>
    <w:tmpl w:val="33AA72F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7C564E5A"/>
    <w:multiLevelType w:val="hybridMultilevel"/>
    <w:tmpl w:val="40CEB0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23681515">
    <w:abstractNumId w:val="0"/>
  </w:num>
  <w:num w:numId="2" w16cid:durableId="868379101">
    <w:abstractNumId w:val="1"/>
  </w:num>
  <w:num w:numId="3" w16cid:durableId="40280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0001D9"/>
    <w:rsid w:val="00004DB3"/>
    <w:rsid w:val="00016671"/>
    <w:rsid w:val="0003457A"/>
    <w:rsid w:val="000851B2"/>
    <w:rsid w:val="00097645"/>
    <w:rsid w:val="000D2F4E"/>
    <w:rsid w:val="000E0A3D"/>
    <w:rsid w:val="001063B1"/>
    <w:rsid w:val="001B0AAC"/>
    <w:rsid w:val="001E0DAF"/>
    <w:rsid w:val="002461F5"/>
    <w:rsid w:val="0026343A"/>
    <w:rsid w:val="00296047"/>
    <w:rsid w:val="002C259C"/>
    <w:rsid w:val="0030355E"/>
    <w:rsid w:val="003170BC"/>
    <w:rsid w:val="0032474C"/>
    <w:rsid w:val="0036416F"/>
    <w:rsid w:val="00380060"/>
    <w:rsid w:val="00382A82"/>
    <w:rsid w:val="003B7EA0"/>
    <w:rsid w:val="003C28DA"/>
    <w:rsid w:val="003C619B"/>
    <w:rsid w:val="003E2C2A"/>
    <w:rsid w:val="004058C9"/>
    <w:rsid w:val="00424989"/>
    <w:rsid w:val="00444C44"/>
    <w:rsid w:val="00465B95"/>
    <w:rsid w:val="004E5BDF"/>
    <w:rsid w:val="004F6DF0"/>
    <w:rsid w:val="005472CF"/>
    <w:rsid w:val="00550BF9"/>
    <w:rsid w:val="00572255"/>
    <w:rsid w:val="005B6B70"/>
    <w:rsid w:val="00650F98"/>
    <w:rsid w:val="007364FC"/>
    <w:rsid w:val="00746E11"/>
    <w:rsid w:val="0075185E"/>
    <w:rsid w:val="007D32D7"/>
    <w:rsid w:val="00833E62"/>
    <w:rsid w:val="00871B98"/>
    <w:rsid w:val="00894255"/>
    <w:rsid w:val="008A15C9"/>
    <w:rsid w:val="008D0580"/>
    <w:rsid w:val="008F51A1"/>
    <w:rsid w:val="00980C44"/>
    <w:rsid w:val="00983BEF"/>
    <w:rsid w:val="00987A2C"/>
    <w:rsid w:val="00A05B86"/>
    <w:rsid w:val="00A10D3F"/>
    <w:rsid w:val="00A34CBA"/>
    <w:rsid w:val="00AC521D"/>
    <w:rsid w:val="00B06AA7"/>
    <w:rsid w:val="00B35484"/>
    <w:rsid w:val="00C12865"/>
    <w:rsid w:val="00C32301"/>
    <w:rsid w:val="00C80012"/>
    <w:rsid w:val="00CC4796"/>
    <w:rsid w:val="00CD2930"/>
    <w:rsid w:val="00CE6647"/>
    <w:rsid w:val="00D0644D"/>
    <w:rsid w:val="00D1290E"/>
    <w:rsid w:val="00D32C5E"/>
    <w:rsid w:val="00D805E3"/>
    <w:rsid w:val="00D94627"/>
    <w:rsid w:val="00DB196F"/>
    <w:rsid w:val="00DB7988"/>
    <w:rsid w:val="00DC166A"/>
    <w:rsid w:val="00DD0F0A"/>
    <w:rsid w:val="00E3434B"/>
    <w:rsid w:val="00E62EC5"/>
    <w:rsid w:val="00EC6A44"/>
    <w:rsid w:val="00ED0B41"/>
    <w:rsid w:val="00EF07B6"/>
    <w:rsid w:val="00F05AE7"/>
    <w:rsid w:val="00F25593"/>
    <w:rsid w:val="00F47DF8"/>
    <w:rsid w:val="00F5563A"/>
    <w:rsid w:val="00F95D89"/>
    <w:rsid w:val="00FA4C3C"/>
    <w:rsid w:val="00FB5B00"/>
    <w:rsid w:val="00FD25F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BAB3"/>
  <w15:docId w15:val="{B97E6D7A-9E14-4141-B728-5953335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B86"/>
  </w:style>
  <w:style w:type="paragraph" w:styleId="Piedepgina">
    <w:name w:val="footer"/>
    <w:basedOn w:val="Normal"/>
    <w:link w:val="PiedepginaCar"/>
    <w:uiPriority w:val="99"/>
    <w:unhideWhenUsed/>
    <w:rsid w:val="00A0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Yercica Ycela  Hernandez Mendez</cp:lastModifiedBy>
  <cp:revision>29</cp:revision>
  <cp:lastPrinted>2023-02-07T21:05:00Z</cp:lastPrinted>
  <dcterms:created xsi:type="dcterms:W3CDTF">2023-02-07T15:13:00Z</dcterms:created>
  <dcterms:modified xsi:type="dcterms:W3CDTF">2023-10-05T21:49:00Z</dcterms:modified>
</cp:coreProperties>
</file>