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3BD1A08D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709E8613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B7538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Noviem</w:t>
            </w:r>
            <w:r w:rsidR="006E3D10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bre</w:t>
            </w:r>
            <w:proofErr w:type="gramEnd"/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1B594096" w14:textId="1EC0A715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07542A68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7E129ECE" w14:textId="5805E368" w:rsidR="00C3710E" w:rsidRDefault="00C3710E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F1EAA24" w14:textId="1405751E" w:rsidR="0012770B" w:rsidRDefault="0012770B" w:rsidP="000536D7">
      <w:pPr>
        <w:spacing w:after="0" w:line="240" w:lineRule="auto"/>
        <w:jc w:val="right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B193165" w14:textId="484CFDC3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6E3D10" w:rsidRPr="008D5523" w14:paraId="2CADA043" w14:textId="77777777" w:rsidTr="006E3D10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CB5A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122B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6E3D10" w:rsidRPr="008D5523" w14:paraId="23312317" w14:textId="77777777" w:rsidTr="006E3D10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D5D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7AA99626" w14:textId="2EEDFD14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Asesoría. </w:t>
            </w:r>
          </w:p>
          <w:p w14:paraId="56F226F1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22CCBE3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6B6B" w14:textId="77777777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58AA6E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9EE3B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2AFB1961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4D0AF7B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6347972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67EC08F" w14:textId="43D9D2D6" w:rsidR="002D6339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2E348169">
            <wp:simplePos x="0" y="0"/>
            <wp:positionH relativeFrom="column">
              <wp:posOffset>3322420</wp:posOffset>
            </wp:positionH>
            <wp:positionV relativeFrom="paragraph">
              <wp:posOffset>38568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0C8A7D71">
            <wp:simplePos x="0" y="0"/>
            <wp:positionH relativeFrom="margin">
              <wp:posOffset>111426</wp:posOffset>
            </wp:positionH>
            <wp:positionV relativeFrom="paragraph">
              <wp:posOffset>117408</wp:posOffset>
            </wp:positionV>
            <wp:extent cx="2355215" cy="13423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C409" w14:textId="32B4241A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78B8FCCF" w14:textId="04EF327B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412B39DB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67072014" w:rsidR="0012770B" w:rsidRPr="009F08AD" w:rsidRDefault="006E3D10" w:rsidP="006E3D10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  <w:r w:rsidR="0012770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12770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4ACB2BFF" w:rsidR="00A05B86" w:rsidRPr="00F5563A" w:rsidRDefault="00A05B86" w:rsidP="00F5563A"/>
    <w:sectPr w:rsidR="00A05B86" w:rsidRPr="00F5563A" w:rsidSect="006E3D10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6408" w14:textId="77777777" w:rsidR="00DD25D0" w:rsidRDefault="00DD25D0" w:rsidP="00A05B86">
      <w:pPr>
        <w:spacing w:after="0" w:line="240" w:lineRule="auto"/>
      </w:pPr>
      <w:r>
        <w:separator/>
      </w:r>
    </w:p>
  </w:endnote>
  <w:endnote w:type="continuationSeparator" w:id="0">
    <w:p w14:paraId="3FC58F4E" w14:textId="77777777" w:rsidR="00DD25D0" w:rsidRDefault="00DD25D0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DDFE" w14:textId="77777777" w:rsidR="00DD25D0" w:rsidRDefault="00DD25D0" w:rsidP="00A05B86">
      <w:pPr>
        <w:spacing w:after="0" w:line="240" w:lineRule="auto"/>
      </w:pPr>
      <w:r>
        <w:separator/>
      </w:r>
    </w:p>
  </w:footnote>
  <w:footnote w:type="continuationSeparator" w:id="0">
    <w:p w14:paraId="0740720B" w14:textId="77777777" w:rsidR="00DD25D0" w:rsidRDefault="00DD25D0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2604"/>
    <w:rsid w:val="000536D7"/>
    <w:rsid w:val="00053E53"/>
    <w:rsid w:val="00063993"/>
    <w:rsid w:val="00097645"/>
    <w:rsid w:val="0012770B"/>
    <w:rsid w:val="00210E84"/>
    <w:rsid w:val="002461F5"/>
    <w:rsid w:val="0026343A"/>
    <w:rsid w:val="0029288D"/>
    <w:rsid w:val="00296047"/>
    <w:rsid w:val="002A590C"/>
    <w:rsid w:val="002D6339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774F9"/>
    <w:rsid w:val="004F6DF0"/>
    <w:rsid w:val="00500F4E"/>
    <w:rsid w:val="00521930"/>
    <w:rsid w:val="00550BF9"/>
    <w:rsid w:val="005B6B70"/>
    <w:rsid w:val="005C03BB"/>
    <w:rsid w:val="00650F98"/>
    <w:rsid w:val="00681325"/>
    <w:rsid w:val="006E3D10"/>
    <w:rsid w:val="00740647"/>
    <w:rsid w:val="0075185E"/>
    <w:rsid w:val="00787A37"/>
    <w:rsid w:val="007D32D7"/>
    <w:rsid w:val="008303DC"/>
    <w:rsid w:val="00877962"/>
    <w:rsid w:val="008A15C9"/>
    <w:rsid w:val="008D0580"/>
    <w:rsid w:val="008D5523"/>
    <w:rsid w:val="009160B6"/>
    <w:rsid w:val="00945387"/>
    <w:rsid w:val="00A01D1B"/>
    <w:rsid w:val="00A05B86"/>
    <w:rsid w:val="00A96FCD"/>
    <w:rsid w:val="00B11C49"/>
    <w:rsid w:val="00B35484"/>
    <w:rsid w:val="00B70271"/>
    <w:rsid w:val="00B75389"/>
    <w:rsid w:val="00B92BEF"/>
    <w:rsid w:val="00C20957"/>
    <w:rsid w:val="00C3710E"/>
    <w:rsid w:val="00C713C7"/>
    <w:rsid w:val="00CD2930"/>
    <w:rsid w:val="00D805E3"/>
    <w:rsid w:val="00D94627"/>
    <w:rsid w:val="00DB196F"/>
    <w:rsid w:val="00DC166A"/>
    <w:rsid w:val="00DD0F0A"/>
    <w:rsid w:val="00DD25D0"/>
    <w:rsid w:val="00E2608A"/>
    <w:rsid w:val="00ED0B41"/>
    <w:rsid w:val="00EF7F70"/>
    <w:rsid w:val="00F24AA6"/>
    <w:rsid w:val="00F5563A"/>
    <w:rsid w:val="00F66D2D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24</cp:revision>
  <cp:lastPrinted>2023-09-11T22:54:00Z</cp:lastPrinted>
  <dcterms:created xsi:type="dcterms:W3CDTF">2023-02-07T15:17:00Z</dcterms:created>
  <dcterms:modified xsi:type="dcterms:W3CDTF">2023-12-04T21:36:00Z</dcterms:modified>
</cp:coreProperties>
</file>