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C165" w14:textId="77777777" w:rsidR="00444C44" w:rsidRDefault="00444C44"/>
    <w:p w14:paraId="0A50708A" w14:textId="7666A668" w:rsidR="00CF2C37" w:rsidRPr="00CF2C37" w:rsidRDefault="00CF2C37" w:rsidP="00CF2C37">
      <w:pPr>
        <w:spacing w:after="200" w:line="276" w:lineRule="auto"/>
        <w:jc w:val="center"/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  <w:t xml:space="preserve">ESTRATEGIA DE TRABAJO PARA LA TRANSPARENCIA, LA CALIDAD DEL GASTO PÚBLICO Y LA RENDICIÓN DE CUENTAS </w:t>
      </w:r>
    </w:p>
    <w:p w14:paraId="75856AB9" w14:textId="77777777" w:rsidR="00CF2C37" w:rsidRPr="00CF2C37" w:rsidRDefault="00CF2C37" w:rsidP="00CF2C37">
      <w:pPr>
        <w:spacing w:after="200" w:line="276" w:lineRule="auto"/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  <w:t>PRESENTACIÓN</w:t>
      </w:r>
    </w:p>
    <w:p w14:paraId="1A5C25FC" w14:textId="4ADC89D4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La Comisión Presidencial por la Paz y los Derechos Humanos, fue creada con carácter temporal por medio del Acuerdo Gubernativo No. 100-2020 de fecha 30 de julio de 2020 y su mandato 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ha sido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reformado por medio de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l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os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Acuerdo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s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Gubernativos No. 306-2022 de fecha 8 de diciembre de 2022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y No.27-2024 de fecha 23 de enero de 2024.</w:t>
      </w:r>
    </w:p>
    <w:p w14:paraId="6DD20F90" w14:textId="77777777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Tiene por objeto asesorar y coordinar con las distintas dependencias del Organismo Ejecutivo, la promoción de acciones y mecanismos encaminados a la efectiva vigencia y protección de los derechos humanos, y el cumplimiento a los compromisos gubernamentales derivados de los Acuerdos de Paz.  </w:t>
      </w:r>
    </w:p>
    <w:p w14:paraId="3DDD43DC" w14:textId="77777777" w:rsidR="00CF2C37" w:rsidRPr="00CF2C37" w:rsidRDefault="00CF2C37" w:rsidP="00654300">
      <w:pPr>
        <w:spacing w:after="0" w:line="360" w:lineRule="auto"/>
        <w:rPr>
          <w:rFonts w:ascii="Altivo Regular" w:eastAsia="Arial Unicode MS" w:hAnsi="Altivo Regular" w:cs="Arial"/>
        </w:rPr>
      </w:pPr>
      <w:r w:rsidRPr="00CF2C37">
        <w:rPr>
          <w:rFonts w:ascii="Altivo Regular" w:eastAsia="Arial Unicode MS" w:hAnsi="Altivo Regular" w:cs="Arial"/>
        </w:rPr>
        <w:t xml:space="preserve">Con la última reforma al mandato, la atención de la conflictividad social ya no forma parte de las atribuciones de la COPADEH.  </w:t>
      </w:r>
    </w:p>
    <w:p w14:paraId="6C81150D" w14:textId="77777777" w:rsidR="00CF2C37" w:rsidRPr="00CF2C37" w:rsidRDefault="00CF2C37" w:rsidP="00654300">
      <w:pPr>
        <w:spacing w:after="0" w:line="360" w:lineRule="auto"/>
        <w:jc w:val="both"/>
        <w:rPr>
          <w:rFonts w:ascii="Altivo Regular" w:eastAsia="Arial Unicode MS" w:hAnsi="Altivo Regular" w:cs="Arial"/>
        </w:rPr>
      </w:pPr>
      <w:r w:rsidRPr="00CF2C37">
        <w:rPr>
          <w:rFonts w:ascii="Altivo Regular" w:eastAsia="Arial Unicode MS" w:hAnsi="Altivo Regular" w:cs="Arial"/>
        </w:rPr>
        <w:t xml:space="preserve">La COPADEH está integrada por: El Presidente de la República de Guatemala, quien la preside, el Director  Ejecutivo de la Comisión, debidamente designado; los titulares del Ministerio  de Gobernación, Ministerio de Agricultura, Ganadería y Alimentación, Ministerio de Energía y Minas, Ministerio de Ambiente y Recursos Naturales, Ministerio de Relaciones Exteriores, Ministerio de Finanzas Públicas;  Secretaría de Planificación y Programación de la Presidencia, Secretaría Ejecutiva del Consejo Nacional de Áreas Protegidas y Procuraduría General de la Nación. </w:t>
      </w:r>
    </w:p>
    <w:p w14:paraId="7C09F67E" w14:textId="59A69117" w:rsidR="00654300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>
        <w:rPr>
          <w:rFonts w:ascii="Altivo Regular" w:eastAsia="Calibri" w:hAnsi="Altivo Regular" w:cs="Calibri"/>
          <w:kern w:val="0"/>
          <w:lang w:eastAsia="es-GT"/>
          <w14:ligatures w14:val="none"/>
        </w:rPr>
        <w:t>La COPADEH tiene registrada en los Sistemas de Contabilidad Integrada Gubernamental SICOIN y Sistema de Gestión SIGES, la misma Estructura Programática y red de Producción del Ejercicio Fiscal 2023, vigente para el Ejercicio Fiscal 2024, derivado que podrá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n registrarse los cambios en 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>los S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>istema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>s,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para</w:t>
      </w: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eliminar el tema de Conflictividad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, </w:t>
      </w: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cuando se registe </w:t>
      </w: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la </w:t>
      </w:r>
      <w:r w:rsidR="00F2202C">
        <w:rPr>
          <w:rFonts w:ascii="Altivo Regular" w:eastAsia="Calibri" w:hAnsi="Altivo Regular" w:cs="Calibri"/>
          <w:kern w:val="0"/>
          <w:lang w:eastAsia="es-GT"/>
          <w14:ligatures w14:val="none"/>
        </w:rPr>
        <w:t>E</w:t>
      </w: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structura </w:t>
      </w:r>
      <w:r w:rsidR="00F2202C">
        <w:rPr>
          <w:rFonts w:ascii="Altivo Regular" w:eastAsia="Calibri" w:hAnsi="Altivo Regular" w:cs="Calibri"/>
          <w:kern w:val="0"/>
          <w:lang w:eastAsia="es-GT"/>
          <w14:ligatures w14:val="none"/>
        </w:rPr>
        <w:t>P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rogramática </w:t>
      </w: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del Ejercicio Fiscal 2025.  </w:t>
      </w:r>
    </w:p>
    <w:p w14:paraId="7A32A4D7" w14:textId="77777777" w:rsidR="00654300" w:rsidRDefault="00654300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5F488011" w14:textId="77777777" w:rsidR="00654300" w:rsidRDefault="00654300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795B5D10" w14:textId="77777777" w:rsidR="00681CD8" w:rsidRDefault="00681CD8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0AF43C8E" w14:textId="45E4E614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Por el momento se ha dejado el presupuesto y las metas físicas con valor 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cero en la Actividad 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>0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>04 que corresponde a conflictividad social.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</w:t>
      </w:r>
    </w:p>
    <w:tbl>
      <w:tblPr>
        <w:tblW w:w="94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591"/>
        <w:gridCol w:w="591"/>
        <w:gridCol w:w="591"/>
        <w:gridCol w:w="591"/>
        <w:gridCol w:w="6288"/>
      </w:tblGrid>
      <w:tr w:rsidR="00CF2C37" w:rsidRPr="00CF2C37" w14:paraId="54F91A83" w14:textId="77777777" w:rsidTr="008A2625">
        <w:trPr>
          <w:trHeight w:val="255"/>
        </w:trPr>
        <w:tc>
          <w:tcPr>
            <w:tcW w:w="788" w:type="dxa"/>
            <w:noWrap/>
            <w:vAlign w:val="bottom"/>
          </w:tcPr>
          <w:p w14:paraId="56C3C317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Calibri" w:hAnsi="Altivo Regular" w:cs="Calibri"/>
                <w:kern w:val="0"/>
                <w:lang w:eastAsia="es-GT"/>
                <w14:ligatures w14:val="none"/>
              </w:rPr>
              <w:t xml:space="preserve"> </w:t>
            </w: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PRG</w:t>
            </w:r>
          </w:p>
        </w:tc>
        <w:tc>
          <w:tcPr>
            <w:tcW w:w="591" w:type="dxa"/>
            <w:noWrap/>
            <w:vAlign w:val="bottom"/>
          </w:tcPr>
          <w:p w14:paraId="2F202957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SPR</w:t>
            </w:r>
          </w:p>
        </w:tc>
        <w:tc>
          <w:tcPr>
            <w:tcW w:w="591" w:type="dxa"/>
            <w:noWrap/>
            <w:vAlign w:val="bottom"/>
          </w:tcPr>
          <w:p w14:paraId="7FDEBC3A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PRY</w:t>
            </w:r>
          </w:p>
        </w:tc>
        <w:tc>
          <w:tcPr>
            <w:tcW w:w="591" w:type="dxa"/>
          </w:tcPr>
          <w:p w14:paraId="1EE8042B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ACT</w:t>
            </w:r>
          </w:p>
        </w:tc>
        <w:tc>
          <w:tcPr>
            <w:tcW w:w="591" w:type="dxa"/>
            <w:noWrap/>
            <w:vAlign w:val="bottom"/>
          </w:tcPr>
          <w:p w14:paraId="45F4AC47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OBR</w:t>
            </w:r>
          </w:p>
        </w:tc>
        <w:tc>
          <w:tcPr>
            <w:tcW w:w="6288" w:type="dxa"/>
            <w:noWrap/>
            <w:vAlign w:val="bottom"/>
          </w:tcPr>
          <w:p w14:paraId="568204A5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DENOMINACION</w:t>
            </w:r>
          </w:p>
        </w:tc>
      </w:tr>
      <w:tr w:rsidR="00CF2C37" w:rsidRPr="00CF2C37" w14:paraId="3BAB3049" w14:textId="77777777" w:rsidTr="008A2625">
        <w:trPr>
          <w:trHeight w:val="255"/>
        </w:trPr>
        <w:tc>
          <w:tcPr>
            <w:tcW w:w="788" w:type="dxa"/>
            <w:noWrap/>
          </w:tcPr>
          <w:p w14:paraId="737AF4FE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  <w:p w14:paraId="4F15B992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71</w:t>
            </w:r>
          </w:p>
        </w:tc>
        <w:tc>
          <w:tcPr>
            <w:tcW w:w="591" w:type="dxa"/>
            <w:noWrap/>
            <w:vAlign w:val="bottom"/>
          </w:tcPr>
          <w:p w14:paraId="0F7CF547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47DA5319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vAlign w:val="bottom"/>
          </w:tcPr>
          <w:p w14:paraId="1DB2C9AA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6EEF4197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6288" w:type="dxa"/>
            <w:noWrap/>
            <w:vAlign w:val="bottom"/>
          </w:tcPr>
          <w:p w14:paraId="7CE015A4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PROMOCIÓN DE ACCIONES Y MECANISMOS POR LA PAZ, DERECHOS HUMANOS </w:t>
            </w:r>
            <w:r w:rsidRPr="00CF2C37">
              <w:rPr>
                <w:rFonts w:ascii="Altivo Regular" w:eastAsia="Arial Unicode MS" w:hAnsi="Altivo Regular" w:cs="Arial Unicode MS"/>
                <w:color w:val="365F91"/>
                <w:kern w:val="0"/>
                <w:sz w:val="24"/>
                <w:szCs w:val="24"/>
                <w:lang w:val="es-ES" w:eastAsia="es-ES"/>
                <w14:ligatures w14:val="none"/>
              </w:rPr>
              <w:t>Y ATENCIÓN DE CONFLICTIVIDAD</w:t>
            </w:r>
          </w:p>
        </w:tc>
      </w:tr>
      <w:tr w:rsidR="00CF2C37" w:rsidRPr="00CF2C37" w14:paraId="63B05273" w14:textId="77777777" w:rsidTr="008A2625">
        <w:trPr>
          <w:trHeight w:val="255"/>
        </w:trPr>
        <w:tc>
          <w:tcPr>
            <w:tcW w:w="788" w:type="dxa"/>
            <w:noWrap/>
            <w:vAlign w:val="bottom"/>
          </w:tcPr>
          <w:p w14:paraId="3168362A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05F2B457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</w:t>
            </w:r>
          </w:p>
        </w:tc>
        <w:tc>
          <w:tcPr>
            <w:tcW w:w="591" w:type="dxa"/>
            <w:noWrap/>
            <w:vAlign w:val="bottom"/>
          </w:tcPr>
          <w:p w14:paraId="4AFD213B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vAlign w:val="bottom"/>
          </w:tcPr>
          <w:p w14:paraId="6BF0B40A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0C37DB26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6288" w:type="dxa"/>
            <w:noWrap/>
            <w:vAlign w:val="bottom"/>
          </w:tcPr>
          <w:p w14:paraId="55DEE97D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Sin Subprograma</w:t>
            </w:r>
          </w:p>
        </w:tc>
      </w:tr>
      <w:tr w:rsidR="00CF2C37" w:rsidRPr="00CF2C37" w14:paraId="7E25E2D1" w14:textId="77777777" w:rsidTr="008A2625">
        <w:trPr>
          <w:trHeight w:val="196"/>
        </w:trPr>
        <w:tc>
          <w:tcPr>
            <w:tcW w:w="788" w:type="dxa"/>
            <w:noWrap/>
            <w:vAlign w:val="bottom"/>
          </w:tcPr>
          <w:p w14:paraId="7E57F125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0ECB23D0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22299059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000</w:t>
            </w:r>
          </w:p>
        </w:tc>
        <w:tc>
          <w:tcPr>
            <w:tcW w:w="591" w:type="dxa"/>
            <w:vAlign w:val="bottom"/>
          </w:tcPr>
          <w:p w14:paraId="2F935922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42CF4D09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6288" w:type="dxa"/>
            <w:noWrap/>
            <w:vAlign w:val="bottom"/>
          </w:tcPr>
          <w:p w14:paraId="25CB2A63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Sin Proyecto</w:t>
            </w:r>
          </w:p>
        </w:tc>
      </w:tr>
      <w:tr w:rsidR="00CF2C37" w:rsidRPr="00CF2C37" w14:paraId="3A390E00" w14:textId="77777777" w:rsidTr="008A2625">
        <w:trPr>
          <w:trHeight w:val="196"/>
        </w:trPr>
        <w:tc>
          <w:tcPr>
            <w:tcW w:w="788" w:type="dxa"/>
            <w:noWrap/>
            <w:vAlign w:val="bottom"/>
          </w:tcPr>
          <w:p w14:paraId="0E7B5760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2CD3C3A2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5304FBD0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vAlign w:val="bottom"/>
          </w:tcPr>
          <w:p w14:paraId="013D2BDD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22C873D6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6288" w:type="dxa"/>
            <w:noWrap/>
            <w:vAlign w:val="bottom"/>
          </w:tcPr>
          <w:p w14:paraId="7F109535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</w:tr>
      <w:tr w:rsidR="00CF2C37" w:rsidRPr="00CF2C37" w14:paraId="1CC34EF1" w14:textId="77777777" w:rsidTr="008A2625">
        <w:trPr>
          <w:trHeight w:val="255"/>
        </w:trPr>
        <w:tc>
          <w:tcPr>
            <w:tcW w:w="788" w:type="dxa"/>
            <w:noWrap/>
            <w:vAlign w:val="bottom"/>
          </w:tcPr>
          <w:p w14:paraId="39DADBE9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1C333F2E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750B90C3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vAlign w:val="bottom"/>
          </w:tcPr>
          <w:p w14:paraId="57BD8CDD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001</w:t>
            </w:r>
          </w:p>
        </w:tc>
        <w:tc>
          <w:tcPr>
            <w:tcW w:w="591" w:type="dxa"/>
            <w:noWrap/>
            <w:vAlign w:val="bottom"/>
          </w:tcPr>
          <w:p w14:paraId="1DD1D639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000</w:t>
            </w:r>
          </w:p>
        </w:tc>
        <w:tc>
          <w:tcPr>
            <w:tcW w:w="6288" w:type="dxa"/>
            <w:noWrap/>
            <w:vAlign w:val="bottom"/>
          </w:tcPr>
          <w:p w14:paraId="16141DAE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Dirección y Coordinación</w:t>
            </w:r>
          </w:p>
        </w:tc>
      </w:tr>
      <w:tr w:rsidR="00CF2C37" w:rsidRPr="00CF2C37" w14:paraId="33FDEDFB" w14:textId="77777777" w:rsidTr="008A2625">
        <w:trPr>
          <w:trHeight w:val="255"/>
        </w:trPr>
        <w:tc>
          <w:tcPr>
            <w:tcW w:w="788" w:type="dxa"/>
            <w:noWrap/>
            <w:vAlign w:val="bottom"/>
          </w:tcPr>
          <w:p w14:paraId="0BB825E8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3292EB28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noWrap/>
            <w:vAlign w:val="bottom"/>
          </w:tcPr>
          <w:p w14:paraId="49542802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</w:tcPr>
          <w:p w14:paraId="3C8FC3B2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002</w:t>
            </w:r>
          </w:p>
          <w:p w14:paraId="72535DE0" w14:textId="77777777" w:rsidR="00CF2C37" w:rsidRPr="00CF2C37" w:rsidRDefault="00CF2C37" w:rsidP="00654300">
            <w:pPr>
              <w:spacing w:after="0" w:line="360" w:lineRule="auto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  <w:p w14:paraId="03454EE4" w14:textId="77777777" w:rsidR="00CF2C37" w:rsidRPr="00CF2C37" w:rsidRDefault="00CF2C37" w:rsidP="00654300">
            <w:pPr>
              <w:spacing w:after="0" w:line="360" w:lineRule="auto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003</w:t>
            </w:r>
          </w:p>
        </w:tc>
        <w:tc>
          <w:tcPr>
            <w:tcW w:w="591" w:type="dxa"/>
            <w:noWrap/>
          </w:tcPr>
          <w:p w14:paraId="14F045B1" w14:textId="77777777" w:rsidR="00CF2C37" w:rsidRPr="00CF2C37" w:rsidRDefault="00CF2C3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000</w:t>
            </w:r>
          </w:p>
          <w:p w14:paraId="60AE4801" w14:textId="77777777" w:rsidR="00CF2C37" w:rsidRPr="00CF2C37" w:rsidRDefault="00CF2C37" w:rsidP="00654300">
            <w:pPr>
              <w:spacing w:after="0" w:line="360" w:lineRule="auto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  <w:p w14:paraId="190D41C1" w14:textId="77777777" w:rsidR="00CF2C37" w:rsidRPr="00CF2C37" w:rsidRDefault="00CF2C37" w:rsidP="00654300">
            <w:pPr>
              <w:spacing w:after="0" w:line="360" w:lineRule="auto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000</w:t>
            </w:r>
          </w:p>
        </w:tc>
        <w:tc>
          <w:tcPr>
            <w:tcW w:w="6288" w:type="dxa"/>
            <w:noWrap/>
            <w:vAlign w:val="bottom"/>
          </w:tcPr>
          <w:p w14:paraId="2CA05877" w14:textId="77777777" w:rsidR="00CF2C37" w:rsidRPr="00CF2C37" w:rsidRDefault="00CF2C37" w:rsidP="00654300">
            <w:pPr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 xml:space="preserve"> Promoción y formación en Cultura de Paz, Derechos Humanos y mecanismos de diálogo</w:t>
            </w:r>
          </w:p>
          <w:p w14:paraId="1E6E8E6C" w14:textId="77777777" w:rsidR="00CF2C37" w:rsidRPr="00CF2C37" w:rsidRDefault="00CF2C37" w:rsidP="00654300">
            <w:pPr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  <w:r w:rsidRPr="00CF2C37"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  <w:t>Implementación de Acciones sobre Derechos Humanos</w:t>
            </w:r>
          </w:p>
          <w:p w14:paraId="125A79C3" w14:textId="77777777" w:rsidR="00CF2C37" w:rsidRPr="00CF2C37" w:rsidRDefault="00CF2C37" w:rsidP="00654300">
            <w:pPr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</w:tr>
      <w:tr w:rsidR="00B35A67" w:rsidRPr="00CF2C37" w14:paraId="465B31F2" w14:textId="77777777" w:rsidTr="00B35A67">
        <w:trPr>
          <w:trHeight w:val="255"/>
        </w:trPr>
        <w:tc>
          <w:tcPr>
            <w:tcW w:w="788" w:type="dxa"/>
            <w:shd w:val="clear" w:color="auto" w:fill="A6A6A6" w:themeFill="background1" w:themeFillShade="A6"/>
            <w:noWrap/>
            <w:vAlign w:val="bottom"/>
          </w:tcPr>
          <w:p w14:paraId="465562FA" w14:textId="77777777" w:rsidR="00B35A67" w:rsidRPr="00CF2C37" w:rsidRDefault="00B35A6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  <w:noWrap/>
            <w:vAlign w:val="bottom"/>
          </w:tcPr>
          <w:p w14:paraId="54C2F2FA" w14:textId="77777777" w:rsidR="00B35A67" w:rsidRPr="00CF2C37" w:rsidRDefault="00B35A6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  <w:noWrap/>
            <w:vAlign w:val="bottom"/>
          </w:tcPr>
          <w:p w14:paraId="55F038B6" w14:textId="77777777" w:rsidR="00B35A67" w:rsidRPr="00CF2C37" w:rsidRDefault="00B35A6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b/>
                <w:bCs/>
                <w:color w:val="365F91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14:paraId="7BBC7A6D" w14:textId="55486BA3" w:rsidR="00B35A67" w:rsidRPr="00B35A67" w:rsidRDefault="00B35A6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i/>
                <w:iCs/>
                <w:color w:val="365F91"/>
                <w:kern w:val="0"/>
                <w:lang w:val="es-ES" w:eastAsia="es-ES"/>
                <w14:ligatures w14:val="none"/>
              </w:rPr>
            </w:pPr>
            <w:r w:rsidRPr="00B35A67">
              <w:rPr>
                <w:rFonts w:ascii="Altivo Regular" w:eastAsia="Arial Unicode MS" w:hAnsi="Altivo Regular" w:cs="Arial Unicode MS"/>
                <w:i/>
                <w:iCs/>
                <w:color w:val="365F91"/>
                <w:kern w:val="0"/>
                <w:lang w:val="es-ES" w:eastAsia="es-ES"/>
                <w14:ligatures w14:val="none"/>
              </w:rPr>
              <w:t>004</w:t>
            </w:r>
          </w:p>
        </w:tc>
        <w:tc>
          <w:tcPr>
            <w:tcW w:w="591" w:type="dxa"/>
            <w:shd w:val="clear" w:color="auto" w:fill="A6A6A6" w:themeFill="background1" w:themeFillShade="A6"/>
            <w:noWrap/>
          </w:tcPr>
          <w:p w14:paraId="08B19F69" w14:textId="170A67EB" w:rsidR="00B35A67" w:rsidRPr="00B35A67" w:rsidRDefault="00B35A67" w:rsidP="00654300">
            <w:pPr>
              <w:widowControl w:val="0"/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i/>
                <w:iCs/>
                <w:color w:val="365F91"/>
                <w:kern w:val="0"/>
                <w:lang w:val="es-ES" w:eastAsia="es-ES"/>
                <w14:ligatures w14:val="none"/>
              </w:rPr>
            </w:pPr>
            <w:r w:rsidRPr="00B35A67">
              <w:rPr>
                <w:rFonts w:ascii="Altivo Regular" w:eastAsia="Arial Unicode MS" w:hAnsi="Altivo Regular" w:cs="Arial Unicode MS"/>
                <w:i/>
                <w:iCs/>
                <w:color w:val="365F91"/>
                <w:kern w:val="0"/>
                <w:lang w:val="es-ES" w:eastAsia="es-ES"/>
                <w14:ligatures w14:val="none"/>
              </w:rPr>
              <w:t>000</w:t>
            </w:r>
          </w:p>
        </w:tc>
        <w:tc>
          <w:tcPr>
            <w:tcW w:w="6288" w:type="dxa"/>
            <w:shd w:val="clear" w:color="auto" w:fill="A6A6A6" w:themeFill="background1" w:themeFillShade="A6"/>
            <w:noWrap/>
            <w:vAlign w:val="bottom"/>
          </w:tcPr>
          <w:p w14:paraId="213D43B5" w14:textId="6037256C" w:rsidR="00B35A67" w:rsidRPr="00B35A67" w:rsidRDefault="00B35A67" w:rsidP="00654300">
            <w:pPr>
              <w:spacing w:after="0" w:line="360" w:lineRule="auto"/>
              <w:ind w:left="38"/>
              <w:rPr>
                <w:rFonts w:ascii="Altivo Regular" w:eastAsia="Arial Unicode MS" w:hAnsi="Altivo Regular" w:cs="Arial Unicode MS"/>
                <w:i/>
                <w:iCs/>
                <w:color w:val="365F91"/>
                <w:kern w:val="0"/>
                <w:lang w:val="es-ES" w:eastAsia="es-ES"/>
                <w14:ligatures w14:val="none"/>
              </w:rPr>
            </w:pPr>
            <w:r w:rsidRPr="00B35A67">
              <w:rPr>
                <w:rFonts w:ascii="Altivo Regular" w:eastAsia="Arial Unicode MS" w:hAnsi="Altivo Regular" w:cs="Arial Unicode MS"/>
                <w:i/>
                <w:iCs/>
                <w:color w:val="365F91"/>
                <w:kern w:val="0"/>
                <w:lang w:val="es-ES" w:eastAsia="es-ES"/>
                <w14:ligatures w14:val="none"/>
              </w:rPr>
              <w:t>Prevención y Atención de la Conflictividad</w:t>
            </w:r>
          </w:p>
        </w:tc>
      </w:tr>
    </w:tbl>
    <w:p w14:paraId="1F7CB72E" w14:textId="77777777" w:rsidR="00654300" w:rsidRPr="00CF2C37" w:rsidRDefault="00654300" w:rsidP="00654300">
      <w:pPr>
        <w:spacing w:after="0" w:line="360" w:lineRule="auto"/>
        <w:rPr>
          <w:rFonts w:ascii="Altivo Regular" w:eastAsia="Calibri" w:hAnsi="Altivo Regular" w:cs="Calibri"/>
          <w:kern w:val="0"/>
          <w:sz w:val="18"/>
          <w:szCs w:val="18"/>
          <w:lang w:eastAsia="es-GT"/>
          <w14:ligatures w14:val="none"/>
        </w:rPr>
      </w:pPr>
      <w:r>
        <w:rPr>
          <w:rFonts w:ascii="Altivo Regular" w:eastAsia="Calibri" w:hAnsi="Altivo Regular" w:cs="Calibri"/>
          <w:kern w:val="0"/>
          <w:sz w:val="18"/>
          <w:szCs w:val="18"/>
          <w:lang w:eastAsia="es-GT"/>
          <w14:ligatures w14:val="none"/>
        </w:rPr>
        <w:t xml:space="preserve">Fuente: </w:t>
      </w:r>
      <w:r w:rsidRPr="00654300">
        <w:rPr>
          <w:rFonts w:ascii="Altivo Regular" w:eastAsia="Calibri" w:hAnsi="Altivo Regular" w:cs="Calibri"/>
          <w:kern w:val="0"/>
          <w:sz w:val="18"/>
          <w:szCs w:val="18"/>
          <w:lang w:eastAsia="es-GT"/>
          <w14:ligatures w14:val="none"/>
        </w:rPr>
        <w:t>Resolución F23-034 de la Dirección Técnica del Presupuesto. Guatemala 28 de noviembre de 2022.</w:t>
      </w:r>
    </w:p>
    <w:p w14:paraId="5BE9D3E5" w14:textId="6B933904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Cuenta además con 4 productos y 7 subproductos para el desarrollo de su quehacer institucional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>, sin embargo por lo ya expuesto se dejo con presupuesto y metas físicas a cero el producto y subproductos de Conflictividad Social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por lo que se trabaja con 03 productos y 5 subproductos.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2C37" w:rsidRPr="00CF2C37" w14:paraId="34EA6354" w14:textId="77777777" w:rsidTr="008A2625">
        <w:trPr>
          <w:trHeight w:val="315"/>
        </w:trPr>
        <w:tc>
          <w:tcPr>
            <w:tcW w:w="9493" w:type="dxa"/>
            <w:hideMark/>
          </w:tcPr>
          <w:p w14:paraId="3472D88D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  <w:b/>
                <w:bCs/>
              </w:rPr>
            </w:pPr>
            <w:r w:rsidRPr="00CF2C37">
              <w:rPr>
                <w:rFonts w:ascii="Altivo Regular" w:hAnsi="Altivo Regular"/>
                <w:b/>
                <w:bCs/>
              </w:rPr>
              <w:t>Dirección y coordinación</w:t>
            </w:r>
          </w:p>
        </w:tc>
      </w:tr>
      <w:tr w:rsidR="00CF2C37" w:rsidRPr="00CF2C37" w14:paraId="2C08D766" w14:textId="77777777" w:rsidTr="008A2625">
        <w:trPr>
          <w:trHeight w:val="315"/>
        </w:trPr>
        <w:tc>
          <w:tcPr>
            <w:tcW w:w="9493" w:type="dxa"/>
            <w:hideMark/>
          </w:tcPr>
          <w:p w14:paraId="1EF159A5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</w:rPr>
            </w:pPr>
            <w:r w:rsidRPr="00CF2C37">
              <w:rPr>
                <w:rFonts w:ascii="Altivo Regular" w:hAnsi="Altivo Regular"/>
              </w:rPr>
              <w:t>Dirección y coordinación</w:t>
            </w:r>
          </w:p>
        </w:tc>
      </w:tr>
      <w:tr w:rsidR="00CF2C37" w:rsidRPr="00CF2C37" w14:paraId="22170346" w14:textId="77777777" w:rsidTr="008A2625">
        <w:trPr>
          <w:trHeight w:val="716"/>
        </w:trPr>
        <w:tc>
          <w:tcPr>
            <w:tcW w:w="9493" w:type="dxa"/>
            <w:hideMark/>
          </w:tcPr>
          <w:p w14:paraId="6A3C3054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  <w:b/>
                <w:bCs/>
              </w:rPr>
            </w:pPr>
            <w:r w:rsidRPr="00CF2C37">
              <w:rPr>
                <w:rFonts w:ascii="Altivo Regular" w:hAnsi="Altivo Regular"/>
                <w:b/>
                <w:bCs/>
              </w:rPr>
              <w:t>Eventos de asesoría, coordinación y formación a las dependencias del Organismo Ejecutivo y otros actores, en materia de Paz</w:t>
            </w:r>
          </w:p>
        </w:tc>
      </w:tr>
      <w:tr w:rsidR="00CF2C37" w:rsidRPr="00CF2C37" w14:paraId="647FA45F" w14:textId="77777777" w:rsidTr="008A2625">
        <w:trPr>
          <w:trHeight w:val="744"/>
        </w:trPr>
        <w:tc>
          <w:tcPr>
            <w:tcW w:w="9493" w:type="dxa"/>
            <w:hideMark/>
          </w:tcPr>
          <w:p w14:paraId="67E55876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</w:rPr>
            </w:pPr>
            <w:r w:rsidRPr="00CF2C37">
              <w:rPr>
                <w:rFonts w:ascii="Altivo Regular" w:hAnsi="Altivo Regular"/>
              </w:rPr>
              <w:t>Eventos de asesoría, coordinación y formación a las dependencias del Organismo Ejecutivo y otros actores en materia de Paz</w:t>
            </w:r>
          </w:p>
        </w:tc>
      </w:tr>
      <w:tr w:rsidR="00CF2C37" w:rsidRPr="00CF2C37" w14:paraId="7AEE1FF1" w14:textId="77777777" w:rsidTr="008A2625">
        <w:trPr>
          <w:trHeight w:val="630"/>
        </w:trPr>
        <w:tc>
          <w:tcPr>
            <w:tcW w:w="9493" w:type="dxa"/>
            <w:hideMark/>
          </w:tcPr>
          <w:p w14:paraId="0FD1B3DF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</w:rPr>
            </w:pPr>
            <w:r w:rsidRPr="00CF2C37">
              <w:rPr>
                <w:rFonts w:ascii="Altivo Regular" w:hAnsi="Altivo Regular"/>
              </w:rPr>
              <w:lastRenderedPageBreak/>
              <w:t>Servidores públicos y ciudadanos formados y capacitados en cultura de paz, respeto a los derechos humanos y mecanismos de diálogo</w:t>
            </w:r>
          </w:p>
        </w:tc>
      </w:tr>
      <w:tr w:rsidR="00CF2C37" w:rsidRPr="00CF2C37" w14:paraId="3565A91C" w14:textId="77777777" w:rsidTr="008A2625">
        <w:trPr>
          <w:trHeight w:val="630"/>
        </w:trPr>
        <w:tc>
          <w:tcPr>
            <w:tcW w:w="9493" w:type="dxa"/>
            <w:hideMark/>
          </w:tcPr>
          <w:p w14:paraId="1C4C47A8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  <w:b/>
                <w:bCs/>
              </w:rPr>
            </w:pPr>
            <w:r w:rsidRPr="00CF2C37">
              <w:rPr>
                <w:rFonts w:ascii="Altivo Regular" w:hAnsi="Altivo Regular"/>
                <w:b/>
                <w:bCs/>
              </w:rPr>
              <w:t>Informes de asesoría, coordinación e implementación de medidas de reparación en materia de derechos humanos a distintas instituciones del Estado</w:t>
            </w:r>
          </w:p>
        </w:tc>
      </w:tr>
      <w:tr w:rsidR="00CF2C37" w:rsidRPr="00CF2C37" w14:paraId="0977F372" w14:textId="77777777" w:rsidTr="008A2625">
        <w:trPr>
          <w:trHeight w:val="630"/>
        </w:trPr>
        <w:tc>
          <w:tcPr>
            <w:tcW w:w="9493" w:type="dxa"/>
            <w:hideMark/>
          </w:tcPr>
          <w:p w14:paraId="1815700A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</w:rPr>
            </w:pPr>
            <w:r w:rsidRPr="00CF2C37">
              <w:rPr>
                <w:rFonts w:ascii="Altivo Regular" w:hAnsi="Altivo Regular"/>
              </w:rPr>
              <w:t>Informes de asesoría y coordinación en materia de derechos humanos a distintas instituciones del Estado</w:t>
            </w:r>
          </w:p>
        </w:tc>
      </w:tr>
      <w:tr w:rsidR="00CF2C37" w:rsidRPr="00CF2C37" w14:paraId="2D7BB606" w14:textId="77777777" w:rsidTr="008A2625">
        <w:trPr>
          <w:trHeight w:val="630"/>
        </w:trPr>
        <w:tc>
          <w:tcPr>
            <w:tcW w:w="9493" w:type="dxa"/>
            <w:hideMark/>
          </w:tcPr>
          <w:p w14:paraId="59C31EA6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</w:rPr>
            </w:pPr>
            <w:r w:rsidRPr="00CF2C37">
              <w:rPr>
                <w:rFonts w:ascii="Altivo Regular" w:hAnsi="Altivo Regular"/>
              </w:rPr>
              <w:t>Informes sobre medidas de reparación implementadas en beneficio de personas afectadas en sus derechos humanos de acuerdo a compromisos de Estado</w:t>
            </w:r>
          </w:p>
        </w:tc>
      </w:tr>
      <w:tr w:rsidR="00CF2C37" w:rsidRPr="00CF2C37" w14:paraId="4E0C62FF" w14:textId="77777777" w:rsidTr="00B35A67">
        <w:trPr>
          <w:trHeight w:val="945"/>
        </w:trPr>
        <w:tc>
          <w:tcPr>
            <w:tcW w:w="9493" w:type="dxa"/>
            <w:shd w:val="clear" w:color="auto" w:fill="A6A6A6" w:themeFill="background1" w:themeFillShade="A6"/>
            <w:hideMark/>
          </w:tcPr>
          <w:p w14:paraId="7E02D759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  <w:b/>
                <w:bCs/>
                <w:sz w:val="20"/>
                <w:szCs w:val="20"/>
              </w:rPr>
            </w:pPr>
            <w:r w:rsidRPr="00CF2C37">
              <w:rPr>
                <w:rFonts w:ascii="Altivo Regular" w:hAnsi="Altivo Regular"/>
                <w:b/>
                <w:bCs/>
                <w:sz w:val="20"/>
                <w:szCs w:val="20"/>
              </w:rPr>
              <w:t>Conflictos sociales, ambientales, agrarios y otros atendidos mediante la coordinación con las dependencias del Organismo Ejecutivo para su mediación y resolución</w:t>
            </w:r>
          </w:p>
        </w:tc>
      </w:tr>
      <w:tr w:rsidR="00CF2C37" w:rsidRPr="00CF2C37" w14:paraId="1E497786" w14:textId="77777777" w:rsidTr="00B35A67">
        <w:trPr>
          <w:trHeight w:val="945"/>
        </w:trPr>
        <w:tc>
          <w:tcPr>
            <w:tcW w:w="9493" w:type="dxa"/>
            <w:shd w:val="clear" w:color="auto" w:fill="A6A6A6" w:themeFill="background1" w:themeFillShade="A6"/>
            <w:hideMark/>
          </w:tcPr>
          <w:p w14:paraId="4C3EBF9B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  <w:sz w:val="20"/>
                <w:szCs w:val="20"/>
              </w:rPr>
            </w:pPr>
            <w:r w:rsidRPr="00CF2C37">
              <w:rPr>
                <w:rFonts w:ascii="Altivo Regular" w:hAnsi="Altivo Regular"/>
                <w:sz w:val="20"/>
                <w:szCs w:val="20"/>
              </w:rPr>
              <w:t>Conflictos sociales, ambientales, agrarios y otros atendidos mediante la coordinación con las dependencias del Organismo Ejecutivo para su mediación y resolución</w:t>
            </w:r>
          </w:p>
        </w:tc>
      </w:tr>
      <w:tr w:rsidR="00CF2C37" w:rsidRPr="00CF2C37" w14:paraId="2534392A" w14:textId="77777777" w:rsidTr="00B35A67">
        <w:trPr>
          <w:trHeight w:val="960"/>
        </w:trPr>
        <w:tc>
          <w:tcPr>
            <w:tcW w:w="9493" w:type="dxa"/>
            <w:shd w:val="clear" w:color="auto" w:fill="A6A6A6" w:themeFill="background1" w:themeFillShade="A6"/>
            <w:hideMark/>
          </w:tcPr>
          <w:p w14:paraId="037B1DD5" w14:textId="77777777" w:rsidR="00CF2C37" w:rsidRPr="00CF2C37" w:rsidRDefault="00CF2C37" w:rsidP="00654300">
            <w:pPr>
              <w:spacing w:line="360" w:lineRule="auto"/>
              <w:rPr>
                <w:rFonts w:ascii="Altivo Regular" w:hAnsi="Altivo Regular"/>
                <w:sz w:val="20"/>
                <w:szCs w:val="20"/>
              </w:rPr>
            </w:pPr>
            <w:r w:rsidRPr="00CF2C37">
              <w:rPr>
                <w:rFonts w:ascii="Altivo Regular" w:hAnsi="Altivo Regular"/>
                <w:sz w:val="20"/>
                <w:szCs w:val="20"/>
              </w:rPr>
              <w:t>Eventos de acompañamiento ante requerimiento institucional en desalojos, bloqueos, manifestaciones y otros</w:t>
            </w:r>
          </w:p>
        </w:tc>
      </w:tr>
    </w:tbl>
    <w:p w14:paraId="12231392" w14:textId="288D77D8" w:rsidR="00CF2C37" w:rsidRPr="00CF2C37" w:rsidRDefault="00CF2C37" w:rsidP="00654300">
      <w:pPr>
        <w:spacing w:after="0" w:line="360" w:lineRule="auto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La COPADEH, implementa su Plan Operativo Anual para el ejercicio fiscal 202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>4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, a través de lo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que planifican las dependencias de la COPADEH.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Cada dependencia de la COPADEH integra, según lo que corresponda, las acciones, los insumos, el producto o subproducto y las metas físicas.</w:t>
      </w:r>
    </w:p>
    <w:p w14:paraId="1634D18B" w14:textId="77777777" w:rsidR="00654300" w:rsidRDefault="00654300" w:rsidP="00654300">
      <w:pPr>
        <w:spacing w:after="0" w:line="360" w:lineRule="auto"/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</w:pPr>
    </w:p>
    <w:p w14:paraId="66B279B7" w14:textId="0756562E" w:rsidR="00CF2C37" w:rsidRPr="00CF2C37" w:rsidRDefault="00CF2C37" w:rsidP="00654300">
      <w:pPr>
        <w:spacing w:after="0" w:line="360" w:lineRule="auto"/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  <w:t>OBJETIVO:</w:t>
      </w:r>
    </w:p>
    <w:p w14:paraId="67F44BBA" w14:textId="77777777" w:rsidR="00CF2C37" w:rsidRPr="00CF2C37" w:rsidRDefault="00CF2C37" w:rsidP="00654300">
      <w:pPr>
        <w:spacing w:after="0" w:line="360" w:lineRule="auto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Fortalecer la transparencia, la calidad del gasto y la rendición de cuentas en el cumplimiento del mandato de la COPADEH.</w:t>
      </w:r>
    </w:p>
    <w:p w14:paraId="50348357" w14:textId="77777777" w:rsidR="00654300" w:rsidRDefault="00654300" w:rsidP="00654300">
      <w:pPr>
        <w:spacing w:after="0" w:line="360" w:lineRule="auto"/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</w:pPr>
    </w:p>
    <w:p w14:paraId="220A0E24" w14:textId="03578922" w:rsidR="00CF2C37" w:rsidRPr="00CF2C37" w:rsidRDefault="00CF2C37" w:rsidP="00654300">
      <w:pPr>
        <w:spacing w:after="0" w:line="360" w:lineRule="auto"/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b/>
          <w:bCs/>
          <w:kern w:val="0"/>
          <w:lang w:eastAsia="es-GT"/>
          <w14:ligatures w14:val="none"/>
        </w:rPr>
        <w:t>ACCIONES PARA LA TRANSPARENCIA, LA CALIDAD DEL GASTO PÚBLICO Y LA RENDICIÓN DE CUENTAS:</w:t>
      </w:r>
    </w:p>
    <w:p w14:paraId="76CD404F" w14:textId="77777777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3B29109C" w14:textId="24D22C5B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La COPADEH cuenta con un presupuesto de Q35 millones, un presupuesto austero desde el inicio de su gestión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>.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</w:t>
      </w:r>
    </w:p>
    <w:p w14:paraId="316EF888" w14:textId="77777777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0941344E" w14:textId="46E8418F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Para el ejercicio fiscal 202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>4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se establecen las siguientes medidas de transparencia para la ejecución del gasto y la gestión institucional: </w:t>
      </w:r>
    </w:p>
    <w:p w14:paraId="25803EF9" w14:textId="77777777" w:rsidR="00CF2C37" w:rsidRPr="00CF2C37" w:rsidRDefault="00CF2C37" w:rsidP="00654300">
      <w:pPr>
        <w:spacing w:after="0" w:line="360" w:lineRule="auto"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43FC977F" w14:textId="1B23D92B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Entrega de </w:t>
      </w:r>
      <w:r w:rsidR="00B35A6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matrices de 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planes operativos anuales por cada dependencia de la COPADEH.</w:t>
      </w:r>
    </w:p>
    <w:p w14:paraId="350C2ABD" w14:textId="0C997255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Revisión de los  planes operativos anuales por la Unidad de Planificación y el Departamento Financiero  para verificar que se ajusten a su techo presupuestario y a las metas físicas que establecieron.  Se aprueban con la firma, en cada documento, por parte de la autoridad superior. Esto permite orientar el gasto hacia la Planificación institucional. </w:t>
      </w:r>
    </w:p>
    <w:p w14:paraId="0A18599C" w14:textId="77777777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Desglose mensual del plan operativo anual.</w:t>
      </w:r>
    </w:p>
    <w:p w14:paraId="252D1A34" w14:textId="41AFA931" w:rsidR="00654300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Seguimiento mensual del Plan Operativo Anual con relación a las actividades, ejecución de metas y ejecución presupuestaria, con el objetivo de la toma oportuna de decisiones</w:t>
      </w:r>
      <w:r w:rsidR="00F457B4" w:rsidRPr="00654300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y elaborar un informe mensual de ejecución de metas físicas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.</w:t>
      </w:r>
    </w:p>
    <w:p w14:paraId="6304A523" w14:textId="77777777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Reorientación de las economías en el presupuesto, para fortalecer las actividades que potencian de mejor manera el cumplimiento del mandato. </w:t>
      </w:r>
    </w:p>
    <w:p w14:paraId="6C5BA8F9" w14:textId="1A4C2267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Publicación en su página Web, de libre acceso a la ciudadanía, informes mensuales del avance de la implementación del Plan Operativo anual 202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4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.</w:t>
      </w:r>
    </w:p>
    <w:p w14:paraId="46B05302" w14:textId="77777777" w:rsidR="00654300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Publicación en su página Web, de libre acceso a la ciudadanía, según lo establecido en la ley y de forma cuatrimestral de los  informes de rendición de </w:t>
      </w:r>
    </w:p>
    <w:p w14:paraId="778D5744" w14:textId="77777777" w:rsidR="008439BF" w:rsidRDefault="00CF2C37" w:rsidP="00654300">
      <w:pPr>
        <w:spacing w:after="0" w:line="360" w:lineRule="auto"/>
        <w:ind w:left="720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cuentas que se remite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n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al Ministerio de Finanzas Públic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a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s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,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que se 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generan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en el Sistema de Contabilidad Integrada, SICOIN; el Informe de Rendición de Cuentas que se remite en las plantillas establecidas por la Comisión 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Nacional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contra la </w:t>
      </w:r>
    </w:p>
    <w:p w14:paraId="03F614C6" w14:textId="77777777" w:rsidR="008439BF" w:rsidRDefault="008439BF" w:rsidP="00654300">
      <w:pPr>
        <w:spacing w:after="0" w:line="360" w:lineRule="auto"/>
        <w:ind w:left="720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295AC7EC" w14:textId="77777777" w:rsidR="008439BF" w:rsidRDefault="00CF2C37" w:rsidP="00654300">
      <w:pPr>
        <w:spacing w:after="0" w:line="360" w:lineRule="auto"/>
        <w:ind w:left="720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Corrupción y al Ministerio de Finanzas Públicas; el informe del Clasificador Temático que se genera en SICOIN  y se remite a la Secretaría Presidencial de la Mujer-SEPREM- y al Ministerio de Finanzas Públicas; el Informe de Avance</w:t>
      </w:r>
      <w:r w:rsidR="00654300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</w:t>
      </w:r>
    </w:p>
    <w:p w14:paraId="16841B4C" w14:textId="77777777" w:rsidR="008439BF" w:rsidRDefault="008439BF" w:rsidP="00654300">
      <w:pPr>
        <w:spacing w:after="0" w:line="360" w:lineRule="auto"/>
        <w:ind w:left="720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09BF6EFE" w14:textId="1AB46B46" w:rsidR="00CF2C37" w:rsidRPr="00CF2C37" w:rsidRDefault="00CF2C37" w:rsidP="00654300">
      <w:pPr>
        <w:spacing w:after="0" w:line="360" w:lineRule="auto"/>
        <w:ind w:left="720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Físico y Financiero que se elabora con base en los datos del Sistema de Gestión -SIGES- y se ingresa al Sistema de Planificación -SIPLAN- el cual se  remite a Segeplan, el Informe de Avance Físico y Financiero de Cooperación que se registra en Sistema de Gestión, Ejecución y Análisis de la Cooperación Internacional,  SIGEACI y se envía a Segeplan; el informe trimestral que se remite a la Comisión interinstitucional de la COPADEH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y el Informe Anual al Presidente de la República de Guatemala, 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entre otros. </w:t>
      </w:r>
    </w:p>
    <w:p w14:paraId="13072CD0" w14:textId="6A559841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Publicar en su página Web, de libre acceso a la ciudadanía, la información de acuerdo a la Ley de Acceso a la Información Pública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,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facilitando su búsqueda y comprensión. </w:t>
      </w:r>
    </w:p>
    <w:p w14:paraId="697B2308" w14:textId="2C8836A3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Código de Ética y </w:t>
      </w:r>
      <w:r w:rsidR="00F457B4">
        <w:rPr>
          <w:rFonts w:ascii="Altivo Regular" w:eastAsia="Calibri" w:hAnsi="Altivo Regular" w:cs="Calibri"/>
          <w:kern w:val="0"/>
          <w:lang w:eastAsia="es-GT"/>
          <w14:ligatures w14:val="none"/>
        </w:rPr>
        <w:t>política de prevención de la corrupción</w:t>
      </w: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.</w:t>
      </w:r>
    </w:p>
    <w:p w14:paraId="6287A362" w14:textId="77777777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strike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Viajes al exterior, se realizarán solamente los que en función del objeto de la Comisión sean necesarios.</w:t>
      </w:r>
    </w:p>
    <w:p w14:paraId="5B9FAF91" w14:textId="468AEA9F" w:rsidR="00CF2C37" w:rsidRPr="00CF2C37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>Reducción de los montos invertidos en arrendamientos, concentrándose en inmuebles más amplios y más económicos.</w:t>
      </w:r>
    </w:p>
    <w:p w14:paraId="27778F7D" w14:textId="3468BBCF" w:rsidR="00742C88" w:rsidRPr="009A2625" w:rsidRDefault="00CF2C37" w:rsidP="00654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ltivo Regular" w:hAnsi="Altivo Regular"/>
        </w:rPr>
      </w:pPr>
      <w:r w:rsidRPr="00CF2C37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En el rubro de propiedad, planta y equipo, se realizarán las adquisiciones que sean necesarias. </w:t>
      </w:r>
    </w:p>
    <w:p w14:paraId="723358FB" w14:textId="77777777" w:rsidR="009A2625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36CA8EAE" w14:textId="77777777" w:rsidR="009A2625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404086E8" w14:textId="77777777" w:rsidR="009A2625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19D110CF" w14:textId="77777777" w:rsidR="009A2625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407401EC" w14:textId="77777777" w:rsidR="009A2625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                                                                                            </w:t>
      </w:r>
    </w:p>
    <w:p w14:paraId="2143ECDB" w14:textId="77777777" w:rsidR="009A2625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146FC1BD" w14:textId="77777777" w:rsidR="009A2625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00A2BFF8" w14:textId="77777777" w:rsidR="00C62044" w:rsidRDefault="009A2625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                                                                                  </w:t>
      </w:r>
    </w:p>
    <w:p w14:paraId="09F8BCCE" w14:textId="77777777" w:rsidR="00C62044" w:rsidRDefault="00C62044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</w:p>
    <w:p w14:paraId="5588D251" w14:textId="4B358402" w:rsidR="009A2625" w:rsidRDefault="00C62044" w:rsidP="009A2625">
      <w:pPr>
        <w:spacing w:after="0" w:line="360" w:lineRule="auto"/>
        <w:contextualSpacing/>
        <w:jc w:val="both"/>
        <w:rPr>
          <w:rFonts w:ascii="Altivo Regular" w:eastAsia="Calibri" w:hAnsi="Altivo Regular" w:cs="Calibri"/>
          <w:kern w:val="0"/>
          <w:lang w:eastAsia="es-GT"/>
          <w14:ligatures w14:val="none"/>
        </w:rPr>
      </w:pPr>
      <w:r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                                                                                    </w:t>
      </w:r>
      <w:r w:rsidR="009A2625">
        <w:rPr>
          <w:rFonts w:ascii="Altivo Regular" w:eastAsia="Calibri" w:hAnsi="Altivo Regular" w:cs="Calibri"/>
          <w:kern w:val="0"/>
          <w:lang w:eastAsia="es-GT"/>
          <w14:ligatures w14:val="none"/>
        </w:rPr>
        <w:t xml:space="preserve">Lcda. Arely Marisol Zea </w:t>
      </w:r>
      <w:proofErr w:type="spellStart"/>
      <w:r w:rsidR="009A2625">
        <w:rPr>
          <w:rFonts w:ascii="Altivo Regular" w:eastAsia="Calibri" w:hAnsi="Altivo Regular" w:cs="Calibri"/>
          <w:kern w:val="0"/>
          <w:lang w:eastAsia="es-GT"/>
          <w14:ligatures w14:val="none"/>
        </w:rPr>
        <w:t>Wellmann</w:t>
      </w:r>
      <w:proofErr w:type="spellEnd"/>
    </w:p>
    <w:p w14:paraId="1CF558F6" w14:textId="70A9B042" w:rsidR="009A2625" w:rsidRPr="00654300" w:rsidRDefault="009A2625" w:rsidP="009A2625">
      <w:pPr>
        <w:spacing w:after="0" w:line="360" w:lineRule="auto"/>
        <w:contextualSpacing/>
        <w:jc w:val="right"/>
        <w:rPr>
          <w:rFonts w:ascii="Altivo Regular" w:hAnsi="Altivo Regular"/>
        </w:rPr>
      </w:pPr>
      <w:r>
        <w:rPr>
          <w:rFonts w:ascii="Altivo Regular" w:eastAsia="Calibri" w:hAnsi="Altivo Regular" w:cs="Calibri"/>
          <w:kern w:val="0"/>
          <w:lang w:eastAsia="es-GT"/>
          <w14:ligatures w14:val="none"/>
        </w:rPr>
        <w:t>Subdirectora Ejecutiva/Encargada del Despacho</w:t>
      </w:r>
    </w:p>
    <w:sectPr w:rsidR="009A2625" w:rsidRPr="00654300" w:rsidSect="008C3C47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FEDF" w14:textId="77777777" w:rsidR="008C3C47" w:rsidRDefault="008C3C47" w:rsidP="007C2653">
      <w:pPr>
        <w:spacing w:after="0" w:line="240" w:lineRule="auto"/>
      </w:pPr>
      <w:r>
        <w:separator/>
      </w:r>
    </w:p>
  </w:endnote>
  <w:endnote w:type="continuationSeparator" w:id="0">
    <w:p w14:paraId="09EFEC86" w14:textId="77777777" w:rsidR="008C3C47" w:rsidRDefault="008C3C47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308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7A25F9" w14:textId="33CC6408" w:rsidR="008439BF" w:rsidRDefault="008439B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048C1" w14:textId="383CBF0D" w:rsidR="007C2653" w:rsidRDefault="007C26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6CE6" w14:textId="77777777" w:rsidR="008C3C47" w:rsidRDefault="008C3C47" w:rsidP="007C2653">
      <w:pPr>
        <w:spacing w:after="0" w:line="240" w:lineRule="auto"/>
      </w:pPr>
      <w:r>
        <w:separator/>
      </w:r>
    </w:p>
  </w:footnote>
  <w:footnote w:type="continuationSeparator" w:id="0">
    <w:p w14:paraId="794A9B24" w14:textId="77777777" w:rsidR="008C3C47" w:rsidRDefault="008C3C47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70EE"/>
    <w:multiLevelType w:val="hybridMultilevel"/>
    <w:tmpl w:val="ACC48AEC"/>
    <w:lvl w:ilvl="0" w:tplc="2862B7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7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444C44"/>
    <w:rsid w:val="00654300"/>
    <w:rsid w:val="00681CD8"/>
    <w:rsid w:val="00742C88"/>
    <w:rsid w:val="007C2653"/>
    <w:rsid w:val="008439BF"/>
    <w:rsid w:val="00885D15"/>
    <w:rsid w:val="00887F78"/>
    <w:rsid w:val="008C3C47"/>
    <w:rsid w:val="009A2625"/>
    <w:rsid w:val="00B35241"/>
    <w:rsid w:val="00B35A67"/>
    <w:rsid w:val="00C62044"/>
    <w:rsid w:val="00CF2B09"/>
    <w:rsid w:val="00CF2C37"/>
    <w:rsid w:val="00E07730"/>
    <w:rsid w:val="00E51E02"/>
    <w:rsid w:val="00F2202C"/>
    <w:rsid w:val="00F457B4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table" w:styleId="Tablaconcuadrcula">
    <w:name w:val="Table Grid"/>
    <w:basedOn w:val="Tablanormal"/>
    <w:uiPriority w:val="39"/>
    <w:rsid w:val="00CF2C37"/>
    <w:pPr>
      <w:spacing w:after="0" w:line="240" w:lineRule="auto"/>
    </w:pPr>
    <w:rPr>
      <w:rFonts w:ascii="Calibri" w:eastAsia="Calibri" w:hAnsi="Calibri" w:cs="Calibri"/>
      <w:kern w:val="0"/>
      <w:lang w:eastAsia="es-G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Unidad de Planificación</cp:lastModifiedBy>
  <cp:revision>8</cp:revision>
  <cp:lastPrinted>2024-03-26T17:48:00Z</cp:lastPrinted>
  <dcterms:created xsi:type="dcterms:W3CDTF">2024-03-26T17:19:00Z</dcterms:created>
  <dcterms:modified xsi:type="dcterms:W3CDTF">2024-03-26T20:54:00Z</dcterms:modified>
</cp:coreProperties>
</file>